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BD8E82">
      <w:pPr>
        <w:jc w:val="center"/>
        <w:rPr>
          <w:rFonts w:ascii="仿宋" w:hAnsi="仿宋" w:eastAsia="仿宋"/>
          <w:b/>
          <w:bCs/>
          <w:color w:val="000000" w:themeColor="text1"/>
          <w:spacing w:val="-8"/>
          <w:sz w:val="30"/>
          <w:szCs w:val="30"/>
          <w:highlight w:val="red"/>
          <w14:textFill>
            <w14:solidFill>
              <w14:schemeClr w14:val="tx1"/>
            </w14:solidFill>
          </w14:textFill>
        </w:rPr>
      </w:pPr>
      <w:r>
        <w:rPr>
          <w:rFonts w:hint="eastAsia" w:ascii="仿宋" w:hAnsi="仿宋" w:eastAsia="仿宋"/>
          <w:b/>
          <w:bCs/>
          <w:sz w:val="28"/>
          <w:szCs w:val="28"/>
          <w:lang w:val="en-US" w:eastAsia="zh-CN"/>
        </w:rPr>
        <w:t>2026</w:t>
      </w:r>
      <w:r>
        <w:rPr>
          <w:rFonts w:hint="eastAsia" w:ascii="仿宋" w:hAnsi="仿宋" w:eastAsia="仿宋"/>
          <w:b/>
          <w:bCs/>
          <w:sz w:val="28"/>
          <w:szCs w:val="28"/>
        </w:rPr>
        <w:t>环境科学与工程研究生综合评定指导性量化细则</w:t>
      </w:r>
      <w:r>
        <w:rPr>
          <w:rFonts w:hint="eastAsia" w:ascii="仿宋" w:hAnsi="仿宋" w:eastAsia="仿宋"/>
          <w:b/>
          <w:bCs/>
          <w:color w:val="000000" w:themeColor="text1"/>
          <w:spacing w:val="-8"/>
          <w:sz w:val="30"/>
          <w:szCs w:val="30"/>
          <w14:textFill>
            <w14:solidFill>
              <w14:schemeClr w14:val="tx1"/>
            </w14:solidFill>
          </w14:textFill>
        </w:rPr>
        <w:t>暂行办法</w:t>
      </w:r>
    </w:p>
    <w:tbl>
      <w:tblPr>
        <w:tblStyle w:val="8"/>
        <w:tblW w:w="149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13" w:type="dxa"/>
          <w:left w:w="108" w:type="dxa"/>
          <w:bottom w:w="113" w:type="dxa"/>
          <w:right w:w="108" w:type="dxa"/>
        </w:tblCellMar>
      </w:tblPr>
      <w:tblGrid>
        <w:gridCol w:w="1540"/>
        <w:gridCol w:w="1627"/>
        <w:gridCol w:w="1064"/>
        <w:gridCol w:w="1215"/>
        <w:gridCol w:w="1133"/>
        <w:gridCol w:w="7142"/>
        <w:gridCol w:w="1158"/>
        <w:gridCol w:w="83"/>
      </w:tblGrid>
      <w:tr w14:paraId="49418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601" w:hRule="atLeast"/>
          <w:jc w:val="center"/>
        </w:trPr>
        <w:tc>
          <w:tcPr>
            <w:tcW w:w="1540" w:type="dxa"/>
            <w:vAlign w:val="center"/>
          </w:tcPr>
          <w:p w14:paraId="23D986D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类  别</w:t>
            </w:r>
          </w:p>
        </w:tc>
        <w:tc>
          <w:tcPr>
            <w:tcW w:w="3906" w:type="dxa"/>
            <w:gridSpan w:val="3"/>
            <w:vAlign w:val="center"/>
          </w:tcPr>
          <w:p w14:paraId="2F3C020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项目代码及内容</w:t>
            </w:r>
          </w:p>
        </w:tc>
        <w:tc>
          <w:tcPr>
            <w:tcW w:w="1133" w:type="dxa"/>
            <w:vAlign w:val="center"/>
          </w:tcPr>
          <w:p w14:paraId="264BA5E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分值或</w:t>
            </w:r>
          </w:p>
          <w:p w14:paraId="346AC10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结果</w:t>
            </w:r>
          </w:p>
        </w:tc>
        <w:tc>
          <w:tcPr>
            <w:tcW w:w="8383" w:type="dxa"/>
            <w:gridSpan w:val="3"/>
            <w:vAlign w:val="center"/>
          </w:tcPr>
          <w:p w14:paraId="43EADC9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评分标准</w:t>
            </w:r>
          </w:p>
        </w:tc>
      </w:tr>
      <w:tr w14:paraId="1DB55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540" w:type="dxa"/>
            <w:vMerge w:val="restart"/>
            <w:vAlign w:val="center"/>
          </w:tcPr>
          <w:p w14:paraId="0172471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A思想品德</w:t>
            </w:r>
          </w:p>
        </w:tc>
        <w:tc>
          <w:tcPr>
            <w:tcW w:w="1627" w:type="dxa"/>
            <w:vMerge w:val="restart"/>
            <w:vAlign w:val="center"/>
          </w:tcPr>
          <w:p w14:paraId="6C370AF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A1荣誉表彰</w:t>
            </w:r>
          </w:p>
        </w:tc>
        <w:tc>
          <w:tcPr>
            <w:tcW w:w="2279" w:type="dxa"/>
            <w:gridSpan w:val="2"/>
            <w:vAlign w:val="center"/>
          </w:tcPr>
          <w:p w14:paraId="58829A4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A11重大荣誉及事迹</w:t>
            </w:r>
          </w:p>
        </w:tc>
        <w:tc>
          <w:tcPr>
            <w:tcW w:w="1133" w:type="dxa"/>
            <w:vAlign w:val="center"/>
          </w:tcPr>
          <w:p w14:paraId="41F1E4C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100分</w:t>
            </w:r>
          </w:p>
        </w:tc>
        <w:tc>
          <w:tcPr>
            <w:tcW w:w="8383" w:type="dxa"/>
            <w:gridSpan w:val="3"/>
            <w:vAlign w:val="center"/>
          </w:tcPr>
          <w:p w14:paraId="595C3C9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A11经认定在</w:t>
            </w:r>
            <w:r>
              <w:rPr>
                <w:rFonts w:hint="eastAsia" w:ascii="仿宋_GB2312" w:hAnsi="仿宋_GB2312" w:eastAsia="仿宋_GB2312" w:cs="仿宋_GB2312"/>
                <w:color w:val="auto"/>
                <w:sz w:val="21"/>
                <w:szCs w:val="21"/>
                <w:highlight w:val="none"/>
                <w:lang w:val="en-US" w:eastAsia="zh-CN"/>
              </w:rPr>
              <w:t>新时代思想道德建设中荣获重大荣誉者</w:t>
            </w:r>
            <w:r>
              <w:rPr>
                <w:rFonts w:hint="eastAsia" w:ascii="仿宋_GB2312" w:hAnsi="仿宋_GB2312" w:eastAsia="仿宋_GB2312" w:cs="仿宋_GB2312"/>
                <w:color w:val="auto"/>
                <w:sz w:val="21"/>
                <w:szCs w:val="21"/>
                <w:highlight w:val="none"/>
              </w:rPr>
              <w:t>，或在关键时刻、重大事件中经受住考验、表现突出、作出重大贡献者，由学院推荐，校评审领导小组综合评定。</w:t>
            </w:r>
          </w:p>
        </w:tc>
      </w:tr>
      <w:tr w14:paraId="128EF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540" w:type="dxa"/>
            <w:vMerge w:val="continue"/>
            <w:vAlign w:val="center"/>
          </w:tcPr>
          <w:p w14:paraId="09BEC69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627" w:type="dxa"/>
            <w:vMerge w:val="continue"/>
            <w:vAlign w:val="center"/>
          </w:tcPr>
          <w:p w14:paraId="37210B6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2279" w:type="dxa"/>
            <w:gridSpan w:val="2"/>
            <w:vAlign w:val="center"/>
          </w:tcPr>
          <w:p w14:paraId="252D07C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A12荣誉表彰</w:t>
            </w:r>
          </w:p>
        </w:tc>
        <w:tc>
          <w:tcPr>
            <w:tcW w:w="1133" w:type="dxa"/>
            <w:vAlign w:val="center"/>
          </w:tcPr>
          <w:p w14:paraId="2EB3DD7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3-50分</w:t>
            </w:r>
          </w:p>
        </w:tc>
        <w:tc>
          <w:tcPr>
            <w:tcW w:w="8383" w:type="dxa"/>
            <w:gridSpan w:val="3"/>
            <w:vAlign w:val="center"/>
          </w:tcPr>
          <w:p w14:paraId="6FA08B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A12</w:t>
            </w:r>
            <w:r>
              <w:rPr>
                <w:rFonts w:hint="eastAsia" w:ascii="仿宋_GB2312" w:hAnsi="仿宋_GB2312" w:eastAsia="仿宋_GB2312" w:cs="仿宋_GB2312"/>
                <w:color w:val="auto"/>
                <w:sz w:val="21"/>
                <w:szCs w:val="21"/>
                <w:highlight w:val="none"/>
                <w:lang w:val="en-US" w:eastAsia="zh-CN"/>
              </w:rPr>
              <w:t>因综合性表彰，</w:t>
            </w:r>
            <w:r>
              <w:rPr>
                <w:rFonts w:hint="eastAsia" w:ascii="仿宋_GB2312" w:hAnsi="仿宋_GB2312" w:eastAsia="仿宋_GB2312" w:cs="仿宋_GB2312"/>
                <w:color w:val="auto"/>
                <w:sz w:val="21"/>
                <w:szCs w:val="21"/>
                <w:highlight w:val="none"/>
              </w:rPr>
              <w:t>荣获国家级（竞争性50分，指标性30分）、省级(竞争性20分，指标性10分）、市厅级（5分）、校级（3分）等各级各类个人荣誉表彰，不同项可累加，同项以最高级计，校级荣誉表彰不超过3项；如同一荣誉奖项还设有“提名奖”“入围奖”，则分别乘以0.5、0.3的系数。</w:t>
            </w:r>
            <w:r>
              <w:rPr>
                <w:rFonts w:hint="eastAsia" w:ascii="仿宋_GB2312" w:hAnsi="仿宋_GB2312" w:eastAsia="仿宋_GB2312" w:cs="仿宋_GB2312"/>
                <w:color w:val="auto"/>
                <w:sz w:val="21"/>
                <w:szCs w:val="21"/>
                <w:highlight w:val="none"/>
                <w:lang w:val="en-US" w:eastAsia="zh-CN"/>
              </w:rPr>
              <w:t>个人表彰系数为 1 ，团队表彰系数由负责人统筹分配到各成员且总系数不超过1，并提供证书 ，由学院认定。</w:t>
            </w:r>
            <w:r>
              <w:rPr>
                <w:rFonts w:hint="eastAsia" w:ascii="仿宋_GB2312" w:hAnsi="仿宋_GB2312" w:eastAsia="仿宋_GB2312" w:cs="仿宋_GB2312"/>
                <w:color w:val="auto"/>
                <w:kern w:val="0"/>
                <w:sz w:val="21"/>
                <w:szCs w:val="21"/>
                <w:highlight w:val="none"/>
                <w:lang w:val="en-US" w:eastAsia="zh-CN" w:bidi="ar"/>
              </w:rPr>
              <w:t>（跨省、市的片区级相关荣誉分别按省、市级分值的 1.2 倍计算）</w:t>
            </w:r>
            <w:r>
              <w:rPr>
                <w:rFonts w:hint="eastAsia" w:ascii="仿宋_GB2312" w:hAnsi="仿宋_GB2312" w:eastAsia="仿宋_GB2312" w:cs="仿宋_GB2312"/>
                <w:color w:val="auto"/>
                <w:kern w:val="2"/>
                <w:sz w:val="21"/>
                <w:szCs w:val="21"/>
                <w:highlight w:val="none"/>
                <w:lang w:val="en-US" w:eastAsia="zh-CN" w:bidi="ar-SA"/>
              </w:rPr>
              <w:t>（校级优秀研究生、优秀研究生干部等相关奖项不加分）</w:t>
            </w:r>
          </w:p>
        </w:tc>
      </w:tr>
      <w:tr w14:paraId="48B99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540" w:type="dxa"/>
            <w:vMerge w:val="continue"/>
            <w:vAlign w:val="center"/>
          </w:tcPr>
          <w:p w14:paraId="4D76E06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627" w:type="dxa"/>
            <w:vMerge w:val="restart"/>
            <w:vAlign w:val="center"/>
          </w:tcPr>
          <w:p w14:paraId="337D146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A2日常表现</w:t>
            </w:r>
          </w:p>
        </w:tc>
        <w:tc>
          <w:tcPr>
            <w:tcW w:w="2279" w:type="dxa"/>
            <w:gridSpan w:val="2"/>
            <w:vAlign w:val="center"/>
          </w:tcPr>
          <w:p w14:paraId="0315944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A21参加校、院组织的各类活动</w:t>
            </w:r>
          </w:p>
        </w:tc>
        <w:tc>
          <w:tcPr>
            <w:tcW w:w="1133" w:type="dxa"/>
            <w:vAlign w:val="center"/>
          </w:tcPr>
          <w:p w14:paraId="5EC2BB1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5分</w:t>
            </w:r>
          </w:p>
        </w:tc>
        <w:tc>
          <w:tcPr>
            <w:tcW w:w="8383" w:type="dxa"/>
            <w:gridSpan w:val="3"/>
            <w:vAlign w:val="center"/>
          </w:tcPr>
          <w:p w14:paraId="2D2A6DC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A21提供获奖证书，由学院认定，总分不超过5分。</w:t>
            </w:r>
          </w:p>
          <w:p w14:paraId="21AC865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lang w:eastAsia="zh-CN"/>
              </w:rPr>
            </w:pPr>
            <w:r>
              <w:rPr>
                <w:rFonts w:hint="eastAsia" w:ascii="仿宋_GB2312" w:hAnsi="仿宋_GB2312" w:eastAsia="仿宋_GB2312" w:cs="仿宋_GB2312"/>
                <w:color w:val="auto"/>
                <w:sz w:val="21"/>
                <w:szCs w:val="21"/>
                <w:highlight w:val="none"/>
              </w:rPr>
              <w:t>参加校级专业类活动2分/次，院级1分/次；参加校级非专业类活动1分/次，院级0.5分/次。总分不超过5分（如无证书，活动组织单位盖章证明）</w:t>
            </w:r>
            <w:r>
              <w:rPr>
                <w:rFonts w:hint="eastAsia" w:ascii="仿宋_GB2312" w:hAnsi="仿宋_GB2312" w:eastAsia="仿宋_GB2312" w:cs="仿宋_GB2312"/>
                <w:color w:val="auto"/>
                <w:sz w:val="21"/>
                <w:szCs w:val="21"/>
                <w:highlight w:val="none"/>
                <w:lang w:eastAsia="zh-CN"/>
              </w:rPr>
              <w:t>。</w:t>
            </w:r>
          </w:p>
        </w:tc>
      </w:tr>
      <w:tr w14:paraId="45504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540" w:type="dxa"/>
            <w:vMerge w:val="continue"/>
            <w:vAlign w:val="center"/>
          </w:tcPr>
          <w:p w14:paraId="58EE7B0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627" w:type="dxa"/>
            <w:vMerge w:val="continue"/>
            <w:vAlign w:val="center"/>
          </w:tcPr>
          <w:p w14:paraId="1B5B4BB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2279" w:type="dxa"/>
            <w:gridSpan w:val="2"/>
            <w:vAlign w:val="center"/>
          </w:tcPr>
          <w:p w14:paraId="702F2BD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A22实验室安全和公寓管理</w:t>
            </w:r>
          </w:p>
        </w:tc>
        <w:tc>
          <w:tcPr>
            <w:tcW w:w="1133" w:type="dxa"/>
            <w:vAlign w:val="center"/>
          </w:tcPr>
          <w:p w14:paraId="50B3094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5</w:t>
            </w:r>
            <w:r>
              <w:rPr>
                <w:rFonts w:hint="eastAsia" w:ascii="仿宋_GB2312" w:hAnsi="仿宋_GB2312" w:eastAsia="仿宋_GB2312" w:cs="仿宋_GB2312"/>
                <w:color w:val="auto"/>
                <w:sz w:val="21"/>
                <w:szCs w:val="21"/>
                <w:highlight w:val="none"/>
              </w:rPr>
              <w:t>分</w:t>
            </w:r>
          </w:p>
        </w:tc>
        <w:tc>
          <w:tcPr>
            <w:tcW w:w="8383" w:type="dxa"/>
            <w:gridSpan w:val="3"/>
            <w:vAlign w:val="center"/>
          </w:tcPr>
          <w:p w14:paraId="5B70BE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A22遵守实验室、工作室</w:t>
            </w:r>
            <w:r>
              <w:rPr>
                <w:rFonts w:hint="eastAsia" w:ascii="仿宋_GB2312" w:hAnsi="仿宋_GB2312" w:eastAsia="仿宋_GB2312" w:cs="仿宋_GB2312"/>
                <w:color w:val="auto"/>
                <w:sz w:val="21"/>
                <w:szCs w:val="21"/>
                <w:highlight w:val="none"/>
                <w:lang w:eastAsia="zh-CN"/>
              </w:rPr>
              <w:t>、</w:t>
            </w:r>
            <w:r>
              <w:rPr>
                <w:rFonts w:hint="eastAsia" w:ascii="仿宋_GB2312" w:hAnsi="仿宋_GB2312" w:eastAsia="仿宋_GB2312" w:cs="仿宋_GB2312"/>
                <w:color w:val="auto"/>
                <w:sz w:val="21"/>
                <w:szCs w:val="21"/>
                <w:highlight w:val="none"/>
                <w:lang w:val="en-US" w:eastAsia="zh-CN"/>
              </w:rPr>
              <w:t>学生公寓</w:t>
            </w:r>
            <w:r>
              <w:rPr>
                <w:rFonts w:hint="eastAsia" w:ascii="仿宋_GB2312" w:hAnsi="仿宋_GB2312" w:eastAsia="仿宋_GB2312" w:cs="仿宋_GB2312"/>
                <w:color w:val="auto"/>
                <w:sz w:val="21"/>
                <w:szCs w:val="21"/>
                <w:highlight w:val="none"/>
              </w:rPr>
              <w:t>和校园等场所管理规定的</w:t>
            </w:r>
            <w:r>
              <w:rPr>
                <w:rFonts w:hint="eastAsia" w:ascii="仿宋_GB2312" w:hAnsi="仿宋_GB2312" w:eastAsia="仿宋_GB2312" w:cs="仿宋_GB2312"/>
                <w:color w:val="auto"/>
                <w:sz w:val="21"/>
                <w:szCs w:val="21"/>
                <w:highlight w:val="none"/>
                <w:lang w:val="en-US" w:eastAsia="zh-CN"/>
              </w:rPr>
              <w:t>2</w:t>
            </w:r>
            <w:r>
              <w:rPr>
                <w:rFonts w:hint="eastAsia" w:ascii="仿宋_GB2312" w:hAnsi="仿宋_GB2312" w:eastAsia="仿宋_GB2312" w:cs="仿宋_GB2312"/>
                <w:color w:val="auto"/>
                <w:sz w:val="21"/>
                <w:szCs w:val="21"/>
                <w:highlight w:val="none"/>
              </w:rPr>
              <w:t>分，获评校级“洁、齐、美”宿舍特等和一、二、三等奖分别加3、2、1、0.5分；</w:t>
            </w:r>
            <w:r>
              <w:rPr>
                <w:rFonts w:hint="eastAsia" w:ascii="仿宋_GB2312" w:hAnsi="仿宋_GB2312" w:eastAsia="仿宋_GB2312" w:cs="仿宋_GB2312"/>
                <w:color w:val="auto"/>
                <w:sz w:val="21"/>
                <w:szCs w:val="21"/>
                <w:highlight w:val="none"/>
                <w:lang w:val="en-US" w:eastAsia="zh-CN"/>
              </w:rPr>
              <w:t>有违规行为的，扣 1 分/次；涉及实验室安全检查的，在检查中发现违规行为且可认定到个人的，扣1分/人次；对安全检查发现的问题不按规定整改的，扣1分/人次，并责令限期整改；同一违规或整改事项不重复扣分，同项以最高扣分为准；造成一定范围内损失的，本项计 0 分；造成严重后果的，取消参评资格；</w:t>
            </w:r>
            <w:r>
              <w:rPr>
                <w:rFonts w:hint="eastAsia" w:ascii="仿宋_GB2312" w:hAnsi="仿宋_GB2312" w:eastAsia="仿宋_GB2312" w:cs="仿宋_GB2312"/>
                <w:strike w:val="0"/>
                <w:dstrike w:val="0"/>
                <w:color w:val="auto"/>
                <w:sz w:val="21"/>
                <w:szCs w:val="21"/>
                <w:highlight w:val="none"/>
              </w:rPr>
              <w:t>违规使用电器或饲养宠物的，该项记0分；</w:t>
            </w:r>
            <w:r>
              <w:rPr>
                <w:rFonts w:hint="eastAsia" w:ascii="仿宋_GB2312" w:hAnsi="仿宋_GB2312" w:eastAsia="仿宋_GB2312" w:cs="仿宋_GB2312"/>
                <w:color w:val="auto"/>
                <w:sz w:val="21"/>
                <w:szCs w:val="21"/>
                <w:highlight w:val="none"/>
                <w:lang w:val="en-US" w:eastAsia="zh-CN"/>
              </w:rPr>
              <w:t>本项</w:t>
            </w:r>
            <w:r>
              <w:rPr>
                <w:rFonts w:hint="eastAsia" w:ascii="仿宋_GB2312" w:hAnsi="仿宋_GB2312" w:eastAsia="仿宋_GB2312" w:cs="仿宋_GB2312"/>
                <w:color w:val="auto"/>
                <w:sz w:val="21"/>
                <w:szCs w:val="21"/>
                <w:highlight w:val="none"/>
              </w:rPr>
              <w:t>由学院和</w:t>
            </w:r>
            <w:r>
              <w:rPr>
                <w:rFonts w:hint="eastAsia" w:ascii="仿宋_GB2312" w:hAnsi="仿宋_GB2312" w:eastAsia="仿宋_GB2312" w:cs="仿宋_GB2312"/>
                <w:color w:val="auto"/>
                <w:sz w:val="21"/>
                <w:szCs w:val="21"/>
                <w:highlight w:val="none"/>
                <w:lang w:val="en-US" w:eastAsia="zh-CN"/>
              </w:rPr>
              <w:t>相关主管部门</w:t>
            </w:r>
            <w:r>
              <w:rPr>
                <w:rFonts w:hint="eastAsia" w:ascii="仿宋_GB2312" w:hAnsi="仿宋_GB2312" w:eastAsia="仿宋_GB2312" w:cs="仿宋_GB2312"/>
                <w:color w:val="auto"/>
                <w:sz w:val="21"/>
                <w:szCs w:val="21"/>
                <w:highlight w:val="none"/>
              </w:rPr>
              <w:t>认定。</w:t>
            </w:r>
          </w:p>
          <w:p w14:paraId="2F0C44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hint="eastAsia" w:ascii="仿宋_GB2312" w:hAnsi="仿宋_GB2312" w:eastAsia="仿宋_GB2312" w:cs="仿宋_GB2312"/>
                <w:color w:val="auto"/>
                <w:sz w:val="21"/>
                <w:szCs w:val="21"/>
                <w:highlight w:val="none"/>
              </w:rPr>
            </w:pPr>
          </w:p>
        </w:tc>
      </w:tr>
      <w:tr w14:paraId="5B872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403" w:hRule="atLeast"/>
          <w:jc w:val="center"/>
        </w:trPr>
        <w:tc>
          <w:tcPr>
            <w:tcW w:w="1540" w:type="dxa"/>
            <w:vMerge w:val="continue"/>
            <w:vAlign w:val="center"/>
          </w:tcPr>
          <w:p w14:paraId="16A9DAB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627" w:type="dxa"/>
            <w:vMerge w:val="continue"/>
            <w:vAlign w:val="center"/>
          </w:tcPr>
          <w:p w14:paraId="230748B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2279" w:type="dxa"/>
            <w:gridSpan w:val="2"/>
            <w:vAlign w:val="center"/>
          </w:tcPr>
          <w:p w14:paraId="6A088AB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A23公共安全</w:t>
            </w:r>
          </w:p>
        </w:tc>
        <w:tc>
          <w:tcPr>
            <w:tcW w:w="1133" w:type="dxa"/>
            <w:vAlign w:val="center"/>
          </w:tcPr>
          <w:p w14:paraId="1A3C563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2分</w:t>
            </w:r>
          </w:p>
        </w:tc>
        <w:tc>
          <w:tcPr>
            <w:tcW w:w="8383" w:type="dxa"/>
            <w:gridSpan w:val="3"/>
            <w:vAlign w:val="center"/>
          </w:tcPr>
          <w:p w14:paraId="7013800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A23在自然灾害、事故灾难、公共卫生等突发事件中，做到不造谣、不信谣、不传谣，自觉服从学校统一管理2分，否则记0分，由学院认定。</w:t>
            </w:r>
          </w:p>
        </w:tc>
      </w:tr>
      <w:tr w14:paraId="71600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403" w:hRule="atLeast"/>
          <w:jc w:val="center"/>
        </w:trPr>
        <w:tc>
          <w:tcPr>
            <w:tcW w:w="1540" w:type="dxa"/>
            <w:vMerge w:val="continue"/>
            <w:vAlign w:val="center"/>
          </w:tcPr>
          <w:p w14:paraId="0CF809A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627" w:type="dxa"/>
            <w:vMerge w:val="continue"/>
            <w:vAlign w:val="center"/>
          </w:tcPr>
          <w:p w14:paraId="4651C32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2279" w:type="dxa"/>
            <w:gridSpan w:val="2"/>
            <w:vAlign w:val="center"/>
          </w:tcPr>
          <w:p w14:paraId="7D2E0B5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A24近1年内受到警告及以上纪律处分</w:t>
            </w:r>
          </w:p>
        </w:tc>
        <w:tc>
          <w:tcPr>
            <w:tcW w:w="1133" w:type="dxa"/>
            <w:vAlign w:val="center"/>
          </w:tcPr>
          <w:p w14:paraId="0A48C3D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原则上不得参评</w:t>
            </w:r>
          </w:p>
        </w:tc>
        <w:tc>
          <w:tcPr>
            <w:tcW w:w="8383" w:type="dxa"/>
            <w:gridSpan w:val="3"/>
            <w:vAlign w:val="center"/>
          </w:tcPr>
          <w:p w14:paraId="5519978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A24处分以发文时间为准，</w:t>
            </w:r>
            <w:r>
              <w:rPr>
                <w:rFonts w:hint="eastAsia" w:ascii="仿宋_GB2312" w:hAnsi="仿宋_GB2312" w:eastAsia="仿宋_GB2312" w:cs="仿宋_GB2312"/>
                <w:color w:val="auto"/>
                <w:sz w:val="21"/>
                <w:szCs w:val="21"/>
                <w:highlight w:val="none"/>
                <w:lang w:val="en-US" w:eastAsia="zh-CN"/>
              </w:rPr>
              <w:t>近</w:t>
            </w:r>
            <w:r>
              <w:rPr>
                <w:rFonts w:hint="eastAsia" w:ascii="仿宋_GB2312" w:hAnsi="仿宋_GB2312" w:eastAsia="仿宋_GB2312" w:cs="仿宋_GB2312"/>
                <w:color w:val="auto"/>
                <w:sz w:val="21"/>
                <w:szCs w:val="21"/>
                <w:highlight w:val="none"/>
              </w:rPr>
              <w:t>一年</w:t>
            </w:r>
            <w:r>
              <w:rPr>
                <w:rFonts w:hint="eastAsia" w:ascii="仿宋_GB2312" w:hAnsi="仿宋_GB2312" w:eastAsia="仿宋_GB2312" w:cs="仿宋_GB2312"/>
                <w:color w:val="auto"/>
                <w:sz w:val="21"/>
                <w:szCs w:val="21"/>
                <w:highlight w:val="none"/>
                <w:lang w:val="en-US" w:eastAsia="zh-CN"/>
              </w:rPr>
              <w:t>时间范围上与学院开展综合评定时间相对应</w:t>
            </w:r>
            <w:r>
              <w:rPr>
                <w:rFonts w:hint="eastAsia" w:ascii="仿宋_GB2312" w:hAnsi="仿宋_GB2312" w:eastAsia="仿宋_GB2312" w:cs="仿宋_GB2312"/>
                <w:color w:val="auto"/>
                <w:sz w:val="21"/>
                <w:szCs w:val="21"/>
                <w:highlight w:val="none"/>
              </w:rPr>
              <w:t>。</w:t>
            </w:r>
          </w:p>
        </w:tc>
      </w:tr>
      <w:tr w14:paraId="4B4ED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403" w:hRule="atLeast"/>
          <w:jc w:val="center"/>
        </w:trPr>
        <w:tc>
          <w:tcPr>
            <w:tcW w:w="1540" w:type="dxa"/>
            <w:vMerge w:val="continue"/>
            <w:vAlign w:val="center"/>
          </w:tcPr>
          <w:p w14:paraId="19CE1E6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627" w:type="dxa"/>
            <w:vMerge w:val="continue"/>
            <w:vAlign w:val="center"/>
          </w:tcPr>
          <w:p w14:paraId="0C90ED3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2279" w:type="dxa"/>
            <w:gridSpan w:val="2"/>
            <w:vAlign w:val="center"/>
          </w:tcPr>
          <w:p w14:paraId="5EE1C32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A25政治立场或学术道德存在严重问题</w:t>
            </w:r>
          </w:p>
        </w:tc>
        <w:tc>
          <w:tcPr>
            <w:tcW w:w="1133" w:type="dxa"/>
            <w:vAlign w:val="center"/>
          </w:tcPr>
          <w:p w14:paraId="3AAAB9B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取消参评资格</w:t>
            </w:r>
          </w:p>
        </w:tc>
        <w:tc>
          <w:tcPr>
            <w:tcW w:w="8383" w:type="dxa"/>
            <w:gridSpan w:val="3"/>
            <w:vAlign w:val="center"/>
          </w:tcPr>
          <w:p w14:paraId="327A4A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hint="eastAsia" w:ascii="仿宋_GB2312" w:hAnsi="仿宋_GB2312" w:eastAsia="仿宋_GB2312" w:cs="仿宋_GB2312"/>
                <w:color w:val="auto"/>
                <w:sz w:val="21"/>
                <w:szCs w:val="21"/>
                <w:highlight w:val="none"/>
                <w:lang w:eastAsia="zh-CN"/>
              </w:rPr>
            </w:pPr>
            <w:r>
              <w:rPr>
                <w:rFonts w:hint="eastAsia" w:ascii="仿宋_GB2312" w:hAnsi="仿宋_GB2312" w:eastAsia="仿宋_GB2312" w:cs="仿宋_GB2312"/>
                <w:color w:val="auto"/>
                <w:sz w:val="21"/>
                <w:szCs w:val="21"/>
                <w:highlight w:val="none"/>
              </w:rPr>
              <w:t>A25由学院认定，</w:t>
            </w:r>
            <w:r>
              <w:rPr>
                <w:rFonts w:hint="eastAsia" w:ascii="仿宋_GB2312" w:hAnsi="仿宋_GB2312" w:eastAsia="仿宋_GB2312" w:cs="仿宋_GB2312"/>
                <w:color w:val="auto"/>
                <w:sz w:val="21"/>
                <w:szCs w:val="21"/>
                <w:highlight w:val="none"/>
                <w:lang w:val="en-US" w:eastAsia="zh-CN"/>
              </w:rPr>
              <w:t>学生处</w:t>
            </w:r>
            <w:r>
              <w:rPr>
                <w:rFonts w:hint="eastAsia" w:ascii="仿宋_GB2312" w:hAnsi="仿宋_GB2312" w:eastAsia="仿宋_GB2312" w:cs="仿宋_GB2312"/>
                <w:color w:val="auto"/>
                <w:sz w:val="21"/>
                <w:szCs w:val="21"/>
                <w:highlight w:val="none"/>
              </w:rPr>
              <w:t>审核</w:t>
            </w:r>
            <w:r>
              <w:rPr>
                <w:rFonts w:hint="eastAsia" w:ascii="仿宋_GB2312" w:hAnsi="仿宋_GB2312" w:eastAsia="仿宋_GB2312" w:cs="仿宋_GB2312"/>
                <w:color w:val="auto"/>
                <w:sz w:val="21"/>
                <w:szCs w:val="21"/>
                <w:highlight w:val="none"/>
                <w:lang w:eastAsia="zh-CN"/>
              </w:rPr>
              <w:t>，</w:t>
            </w:r>
            <w:r>
              <w:rPr>
                <w:rFonts w:hint="eastAsia" w:ascii="仿宋_GB2312" w:hAnsi="仿宋_GB2312" w:eastAsia="仿宋_GB2312" w:cs="仿宋_GB2312"/>
                <w:color w:val="auto"/>
                <w:sz w:val="21"/>
                <w:szCs w:val="21"/>
                <w:highlight w:val="none"/>
                <w:lang w:val="en-US" w:eastAsia="zh-CN"/>
              </w:rPr>
              <w:t>校评审领导小组确定。</w:t>
            </w:r>
          </w:p>
        </w:tc>
      </w:tr>
      <w:tr w14:paraId="30A49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403" w:hRule="atLeast"/>
          <w:jc w:val="center"/>
        </w:trPr>
        <w:tc>
          <w:tcPr>
            <w:tcW w:w="1540" w:type="dxa"/>
            <w:vMerge w:val="continue"/>
            <w:vAlign w:val="center"/>
          </w:tcPr>
          <w:p w14:paraId="18BA664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627" w:type="dxa"/>
            <w:vMerge w:val="continue"/>
            <w:vAlign w:val="center"/>
          </w:tcPr>
          <w:p w14:paraId="4E616F2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2279" w:type="dxa"/>
            <w:gridSpan w:val="2"/>
            <w:vAlign w:val="center"/>
          </w:tcPr>
          <w:p w14:paraId="221BDBC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A26德育素质</w:t>
            </w:r>
          </w:p>
        </w:tc>
        <w:tc>
          <w:tcPr>
            <w:tcW w:w="1133" w:type="dxa"/>
            <w:vAlign w:val="center"/>
          </w:tcPr>
          <w:p w14:paraId="08C5E60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4分</w:t>
            </w:r>
          </w:p>
        </w:tc>
        <w:tc>
          <w:tcPr>
            <w:tcW w:w="8383" w:type="dxa"/>
            <w:gridSpan w:val="3"/>
            <w:vAlign w:val="center"/>
          </w:tcPr>
          <w:p w14:paraId="56972D9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A26 成立测评小组打分（附《常州大学学生德育素质测评参考表》）。 测评分数在 95-100 的，此项得 4 分；测评分数在 90-94 的，此项得 3 分； 测评分数在 80-89 的，此项得 2 分；测评分数在 70-79 的，此项得 1 分；70 分以下的，此项不得分。</w:t>
            </w:r>
          </w:p>
        </w:tc>
      </w:tr>
      <w:tr w14:paraId="74BBB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540" w:type="dxa"/>
            <w:vMerge w:val="continue"/>
            <w:vAlign w:val="center"/>
          </w:tcPr>
          <w:p w14:paraId="1D76104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627" w:type="dxa"/>
            <w:vMerge w:val="restart"/>
            <w:vAlign w:val="center"/>
          </w:tcPr>
          <w:p w14:paraId="2898B86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A3志愿实践</w:t>
            </w:r>
          </w:p>
        </w:tc>
        <w:tc>
          <w:tcPr>
            <w:tcW w:w="2279" w:type="dxa"/>
            <w:gridSpan w:val="2"/>
            <w:vAlign w:val="center"/>
          </w:tcPr>
          <w:p w14:paraId="133D1F6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A31志愿服务</w:t>
            </w:r>
          </w:p>
        </w:tc>
        <w:tc>
          <w:tcPr>
            <w:tcW w:w="1133" w:type="dxa"/>
            <w:vAlign w:val="center"/>
          </w:tcPr>
          <w:p w14:paraId="62F29CF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1-20分</w:t>
            </w:r>
          </w:p>
        </w:tc>
        <w:tc>
          <w:tcPr>
            <w:tcW w:w="8383" w:type="dxa"/>
            <w:gridSpan w:val="3"/>
            <w:vAlign w:val="center"/>
          </w:tcPr>
          <w:p w14:paraId="39D729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hint="eastAsia" w:ascii="仿宋_GB2312" w:hAnsi="仿宋_GB2312" w:eastAsia="仿宋_GB2312" w:cs="仿宋_GB2312"/>
                <w:color w:val="auto"/>
                <w:sz w:val="21"/>
                <w:szCs w:val="21"/>
                <w:highlight w:val="none"/>
                <w:lang w:eastAsia="zh-CN"/>
              </w:rPr>
            </w:pPr>
            <w:r>
              <w:rPr>
                <w:rFonts w:hint="eastAsia" w:ascii="仿宋_GB2312" w:hAnsi="仿宋_GB2312" w:eastAsia="仿宋_GB2312" w:cs="仿宋_GB2312"/>
                <w:color w:val="auto"/>
                <w:sz w:val="21"/>
                <w:szCs w:val="21"/>
                <w:highlight w:val="none"/>
              </w:rPr>
              <w:t>A31因志愿服务某项活动/事件</w:t>
            </w:r>
            <w:r>
              <w:rPr>
                <w:rFonts w:hint="eastAsia" w:ascii="仿宋_GB2312" w:hAnsi="仿宋_GB2312" w:eastAsia="仿宋_GB2312" w:cs="仿宋_GB2312"/>
                <w:color w:val="auto"/>
                <w:sz w:val="21"/>
                <w:szCs w:val="21"/>
                <w:highlight w:val="none"/>
                <w:lang w:eastAsia="zh-CN"/>
              </w:rPr>
              <w:t>，</w:t>
            </w:r>
            <w:r>
              <w:rPr>
                <w:rFonts w:hint="eastAsia" w:ascii="仿宋_GB2312" w:hAnsi="仿宋_GB2312" w:eastAsia="仿宋_GB2312" w:cs="仿宋_GB2312"/>
                <w:color w:val="auto"/>
                <w:sz w:val="21"/>
                <w:szCs w:val="21"/>
                <w:highlight w:val="none"/>
              </w:rPr>
              <w:t>获得国家级、省级、市厅级和校级等表彰的，</w:t>
            </w:r>
            <w:r>
              <w:rPr>
                <w:rFonts w:hint="eastAsia" w:ascii="仿宋_GB2312" w:hAnsi="仿宋_GB2312" w:eastAsia="仿宋_GB2312" w:cs="仿宋_GB2312"/>
                <w:color w:val="auto"/>
                <w:sz w:val="21"/>
                <w:szCs w:val="21"/>
                <w:highlight w:val="none"/>
                <w:lang w:val="en-US" w:eastAsia="zh-CN"/>
              </w:rPr>
              <w:t>分别得 20、8、4、2 分；</w:t>
            </w:r>
            <w:r>
              <w:rPr>
                <w:rFonts w:hint="eastAsia" w:ascii="仿宋_GB2312" w:hAnsi="仿宋_GB2312" w:eastAsia="仿宋_GB2312" w:cs="仿宋_GB2312"/>
                <w:color w:val="auto"/>
                <w:sz w:val="21"/>
                <w:szCs w:val="21"/>
                <w:highlight w:val="none"/>
              </w:rPr>
              <w:t>个人表彰系数为1，团队表彰系数由负责人统筹分配到各成员且总系数不超过1，并提供证书，由学院认定。</w:t>
            </w:r>
            <w:r>
              <w:rPr>
                <w:rFonts w:hint="eastAsia" w:ascii="仿宋_GB2312" w:hAnsi="仿宋_GB2312" w:eastAsia="仿宋_GB2312" w:cs="仿宋_GB2312"/>
                <w:color w:val="auto"/>
                <w:sz w:val="21"/>
                <w:szCs w:val="21"/>
                <w:highlight w:val="none"/>
                <w:lang w:val="en-US" w:eastAsia="zh-CN"/>
              </w:rPr>
              <w:t>学院</w:t>
            </w:r>
            <w:r>
              <w:rPr>
                <w:rFonts w:hint="eastAsia" w:ascii="仿宋_GB2312" w:hAnsi="仿宋_GB2312" w:eastAsia="仿宋_GB2312" w:cs="仿宋_GB2312"/>
                <w:color w:val="auto"/>
                <w:sz w:val="21"/>
                <w:szCs w:val="21"/>
                <w:highlight w:val="none"/>
              </w:rPr>
              <w:t>参加志愿服务可按次按时长进行累计，有效志愿服务凭相关证明可得0.05分/小时，上限为2分。</w:t>
            </w:r>
            <w:r>
              <w:rPr>
                <w:rFonts w:hint="eastAsia" w:ascii="仿宋_GB2312" w:hAnsi="仿宋_GB2312" w:eastAsia="仿宋_GB2312" w:cs="仿宋_GB2312"/>
                <w:color w:val="auto"/>
                <w:kern w:val="2"/>
                <w:sz w:val="21"/>
                <w:szCs w:val="21"/>
                <w:highlight w:val="none"/>
                <w:lang w:val="en-US" w:eastAsia="zh-CN" w:bidi="ar-SA"/>
              </w:rPr>
              <w:t>（如获校级及以上非表彰类志愿服务证书者，按证书等级加分：国家级2分、省级1.5分、市级1.2分、校级1分，本项加分总额不超过2分；同一服务成果不重复加分，由学院认定后加分）</w:t>
            </w:r>
          </w:p>
        </w:tc>
      </w:tr>
      <w:tr w14:paraId="5EF0A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540" w:type="dxa"/>
            <w:vMerge w:val="continue"/>
            <w:vAlign w:val="center"/>
          </w:tcPr>
          <w:p w14:paraId="0824978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627" w:type="dxa"/>
            <w:vMerge w:val="continue"/>
            <w:vAlign w:val="center"/>
          </w:tcPr>
          <w:p w14:paraId="01442E1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2279" w:type="dxa"/>
            <w:gridSpan w:val="2"/>
            <w:vAlign w:val="center"/>
          </w:tcPr>
          <w:p w14:paraId="6335C16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kern w:val="2"/>
                <w:sz w:val="21"/>
                <w:szCs w:val="21"/>
                <w:highlight w:val="none"/>
                <w:lang w:val="en-US" w:eastAsia="zh-CN" w:bidi="ar-SA"/>
              </w:rPr>
              <w:t>A32 无偿献血</w:t>
            </w:r>
          </w:p>
        </w:tc>
        <w:tc>
          <w:tcPr>
            <w:tcW w:w="1133" w:type="dxa"/>
            <w:vAlign w:val="center"/>
          </w:tcPr>
          <w:p w14:paraId="53ED4A0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2"/>
                <w:sz w:val="21"/>
                <w:szCs w:val="21"/>
                <w:highlight w:val="none"/>
                <w:lang w:val="en-US" w:eastAsia="zh-CN" w:bidi="ar-SA"/>
              </w:rPr>
              <w:t>0.5-1分</w:t>
            </w:r>
          </w:p>
        </w:tc>
        <w:tc>
          <w:tcPr>
            <w:tcW w:w="8383" w:type="dxa"/>
            <w:gridSpan w:val="3"/>
            <w:vAlign w:val="center"/>
          </w:tcPr>
          <w:p w14:paraId="1987E9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kern w:val="2"/>
                <w:sz w:val="21"/>
                <w:szCs w:val="21"/>
                <w:highlight w:val="none"/>
                <w:lang w:val="en-US" w:eastAsia="zh-CN" w:bidi="ar-SA"/>
              </w:rPr>
              <w:t>A32 参加无偿献血活动并成功者，一次得0.5分，总分不超过1分。（须提供相关献血证明材料）</w:t>
            </w:r>
          </w:p>
        </w:tc>
      </w:tr>
      <w:tr w14:paraId="143BF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540" w:type="dxa"/>
            <w:vMerge w:val="continue"/>
            <w:vAlign w:val="center"/>
          </w:tcPr>
          <w:p w14:paraId="2F32A78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627" w:type="dxa"/>
            <w:vMerge w:val="continue"/>
            <w:vAlign w:val="center"/>
          </w:tcPr>
          <w:p w14:paraId="60D6575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2279" w:type="dxa"/>
            <w:gridSpan w:val="2"/>
            <w:vAlign w:val="center"/>
          </w:tcPr>
          <w:p w14:paraId="6434864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A3</w:t>
            </w:r>
            <w:r>
              <w:rPr>
                <w:rFonts w:hint="eastAsia" w:ascii="仿宋_GB2312" w:hAnsi="仿宋_GB2312" w:eastAsia="仿宋_GB2312" w:cs="仿宋_GB2312"/>
                <w:color w:val="auto"/>
                <w:sz w:val="21"/>
                <w:szCs w:val="21"/>
                <w:highlight w:val="none"/>
                <w:lang w:val="en-US" w:eastAsia="zh-CN"/>
              </w:rPr>
              <w:t>3</w:t>
            </w:r>
            <w:r>
              <w:rPr>
                <w:rFonts w:hint="eastAsia" w:ascii="仿宋_GB2312" w:hAnsi="仿宋_GB2312" w:eastAsia="仿宋_GB2312" w:cs="仿宋_GB2312"/>
                <w:color w:val="auto"/>
                <w:sz w:val="21"/>
                <w:szCs w:val="21"/>
                <w:highlight w:val="none"/>
              </w:rPr>
              <w:t>社会实践</w:t>
            </w:r>
          </w:p>
        </w:tc>
        <w:tc>
          <w:tcPr>
            <w:tcW w:w="1133" w:type="dxa"/>
            <w:vAlign w:val="center"/>
          </w:tcPr>
          <w:p w14:paraId="6913635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1-20分</w:t>
            </w:r>
          </w:p>
        </w:tc>
        <w:tc>
          <w:tcPr>
            <w:tcW w:w="8383" w:type="dxa"/>
            <w:gridSpan w:val="3"/>
            <w:vAlign w:val="center"/>
          </w:tcPr>
          <w:p w14:paraId="3CDE2CD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lang w:eastAsia="zh-CN"/>
              </w:rPr>
            </w:pPr>
            <w:r>
              <w:rPr>
                <w:rFonts w:hint="eastAsia" w:ascii="仿宋_GB2312" w:hAnsi="仿宋_GB2312" w:eastAsia="仿宋_GB2312" w:cs="仿宋_GB2312"/>
                <w:color w:val="auto"/>
                <w:sz w:val="21"/>
                <w:szCs w:val="21"/>
                <w:highlight w:val="none"/>
              </w:rPr>
              <w:t>A3</w:t>
            </w:r>
            <w:r>
              <w:rPr>
                <w:rFonts w:hint="eastAsia" w:ascii="仿宋_GB2312" w:hAnsi="仿宋_GB2312" w:eastAsia="仿宋_GB2312" w:cs="仿宋_GB2312"/>
                <w:color w:val="auto"/>
                <w:sz w:val="21"/>
                <w:szCs w:val="21"/>
                <w:highlight w:val="none"/>
                <w:lang w:val="en-US" w:eastAsia="zh-CN"/>
              </w:rPr>
              <w:t>3</w:t>
            </w:r>
            <w:r>
              <w:rPr>
                <w:rFonts w:hint="eastAsia" w:ascii="仿宋_GB2312" w:hAnsi="仿宋_GB2312" w:eastAsia="仿宋_GB2312" w:cs="仿宋_GB2312"/>
                <w:color w:val="auto"/>
                <w:sz w:val="21"/>
                <w:szCs w:val="21"/>
                <w:highlight w:val="none"/>
              </w:rPr>
              <w:t>因参与某项社会实践活动</w:t>
            </w:r>
            <w:r>
              <w:rPr>
                <w:rFonts w:hint="eastAsia" w:ascii="仿宋_GB2312" w:hAnsi="仿宋_GB2312" w:eastAsia="仿宋_GB2312" w:cs="仿宋_GB2312"/>
                <w:color w:val="auto"/>
                <w:sz w:val="21"/>
                <w:szCs w:val="21"/>
                <w:highlight w:val="none"/>
                <w:lang w:eastAsia="zh-CN"/>
              </w:rPr>
              <w:t>，</w:t>
            </w:r>
            <w:r>
              <w:rPr>
                <w:rFonts w:hint="eastAsia" w:ascii="仿宋_GB2312" w:hAnsi="仿宋_GB2312" w:eastAsia="仿宋_GB2312" w:cs="仿宋_GB2312"/>
                <w:color w:val="auto"/>
                <w:sz w:val="21"/>
                <w:szCs w:val="21"/>
                <w:highlight w:val="none"/>
              </w:rPr>
              <w:t>获得国家级、省级、市厅级和校级等表彰的，</w:t>
            </w:r>
            <w:r>
              <w:rPr>
                <w:rFonts w:hint="eastAsia" w:ascii="仿宋_GB2312" w:hAnsi="仿宋_GB2312" w:eastAsia="仿宋_GB2312" w:cs="仿宋_GB2312"/>
                <w:color w:val="auto"/>
                <w:sz w:val="21"/>
                <w:szCs w:val="21"/>
                <w:highlight w:val="none"/>
                <w:lang w:val="en-US" w:eastAsia="zh-CN"/>
              </w:rPr>
              <w:t>分别得 20、8、4、2 分</w:t>
            </w:r>
            <w:r>
              <w:rPr>
                <w:rFonts w:hint="eastAsia" w:ascii="仿宋_GB2312" w:hAnsi="仿宋_GB2312" w:eastAsia="仿宋_GB2312" w:cs="仿宋_GB2312"/>
                <w:color w:val="auto"/>
                <w:sz w:val="21"/>
                <w:szCs w:val="21"/>
                <w:highlight w:val="none"/>
              </w:rPr>
              <w:t>；个人表彰系数为1，团队表彰系数由负责人统筹分配到各成员且总系数不超过1，并提供证书，由学院认定。</w:t>
            </w:r>
            <w:r>
              <w:rPr>
                <w:rFonts w:hint="eastAsia" w:ascii="仿宋_GB2312" w:hAnsi="仿宋_GB2312" w:eastAsia="仿宋_GB2312" w:cs="仿宋_GB2312"/>
                <w:color w:val="auto"/>
                <w:sz w:val="21"/>
                <w:szCs w:val="21"/>
                <w:highlight w:val="none"/>
                <w:lang w:eastAsia="zh-CN"/>
              </w:rPr>
              <w:t>（</w:t>
            </w:r>
            <w:r>
              <w:rPr>
                <w:rFonts w:hint="eastAsia" w:ascii="仿宋_GB2312" w:hAnsi="仿宋_GB2312" w:eastAsia="仿宋_GB2312" w:cs="仿宋_GB2312"/>
                <w:color w:val="auto"/>
                <w:sz w:val="21"/>
                <w:szCs w:val="21"/>
                <w:highlight w:val="none"/>
                <w:lang w:val="en-US" w:eastAsia="zh-CN"/>
              </w:rPr>
              <w:t>技术转移研究生加1分</w:t>
            </w:r>
            <w:r>
              <w:rPr>
                <w:rFonts w:hint="eastAsia" w:ascii="仿宋_GB2312" w:hAnsi="仿宋_GB2312" w:eastAsia="仿宋_GB2312" w:cs="仿宋_GB2312"/>
                <w:color w:val="auto"/>
                <w:sz w:val="21"/>
                <w:szCs w:val="21"/>
                <w:highlight w:val="none"/>
                <w:lang w:eastAsia="zh-CN"/>
              </w:rPr>
              <w:t>）</w:t>
            </w:r>
          </w:p>
        </w:tc>
      </w:tr>
      <w:tr w14:paraId="71657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540" w:type="dxa"/>
            <w:vMerge w:val="continue"/>
            <w:vAlign w:val="center"/>
          </w:tcPr>
          <w:p w14:paraId="5E0C020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627" w:type="dxa"/>
            <w:vAlign w:val="center"/>
          </w:tcPr>
          <w:p w14:paraId="6B1CD7E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A4社会工作</w:t>
            </w:r>
          </w:p>
        </w:tc>
        <w:tc>
          <w:tcPr>
            <w:tcW w:w="2279" w:type="dxa"/>
            <w:gridSpan w:val="2"/>
            <w:vAlign w:val="center"/>
          </w:tcPr>
          <w:p w14:paraId="4E9EE3B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A41校、院学生干部</w:t>
            </w:r>
          </w:p>
        </w:tc>
        <w:tc>
          <w:tcPr>
            <w:tcW w:w="1133" w:type="dxa"/>
            <w:vAlign w:val="center"/>
          </w:tcPr>
          <w:p w14:paraId="6C30D13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1-6分</w:t>
            </w:r>
          </w:p>
        </w:tc>
        <w:tc>
          <w:tcPr>
            <w:tcW w:w="8383" w:type="dxa"/>
            <w:gridSpan w:val="3"/>
            <w:vAlign w:val="center"/>
          </w:tcPr>
          <w:p w14:paraId="09FF60C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A41校研究生会主席6分、副主席4分，部长3分、副部长2分；校团委学生兼职副书记6分；院研究生会</w:t>
            </w:r>
            <w:bookmarkStart w:id="0" w:name="_GoBack"/>
            <w:bookmarkEnd w:id="0"/>
            <w:r>
              <w:rPr>
                <w:rFonts w:hint="eastAsia" w:ascii="仿宋_GB2312" w:hAnsi="仿宋_GB2312" w:eastAsia="仿宋_GB2312" w:cs="仿宋_GB2312"/>
                <w:color w:val="auto"/>
                <w:sz w:val="21"/>
                <w:szCs w:val="21"/>
                <w:highlight w:val="none"/>
              </w:rPr>
              <w:t>主席5分、副主席3分、部长2分、副部长1分；院团委学生兼职副书记5分；党支部书记5分、副书记3分、支委委员1分；班级班长、团支部书记3分，班委、支委1分；辅导员学生助理5分。以上任职须任满一届，不重复计分，最高分6分。</w:t>
            </w:r>
          </w:p>
          <w:p w14:paraId="2EE2EC3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strike w:val="0"/>
                <w:dstrike w:val="0"/>
                <w:color w:val="auto"/>
                <w:sz w:val="21"/>
                <w:szCs w:val="21"/>
                <w:highlight w:val="none"/>
              </w:rPr>
              <w:t>学生干部工作需按年度评级，对应级别为优秀、良好、合格、不合格，对应得分系数分别为1、0.8、0.6、0。</w:t>
            </w:r>
          </w:p>
        </w:tc>
      </w:tr>
      <w:tr w14:paraId="5180B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540" w:type="dxa"/>
            <w:vMerge w:val="restart"/>
            <w:tcBorders>
              <w:top w:val="double" w:color="auto" w:sz="4" w:space="0"/>
            </w:tcBorders>
            <w:vAlign w:val="center"/>
          </w:tcPr>
          <w:p w14:paraId="282A6C8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B学业成绩</w:t>
            </w:r>
          </w:p>
        </w:tc>
        <w:tc>
          <w:tcPr>
            <w:tcW w:w="1627" w:type="dxa"/>
            <w:vMerge w:val="restart"/>
            <w:tcBorders>
              <w:top w:val="double" w:color="auto" w:sz="4" w:space="0"/>
            </w:tcBorders>
            <w:vAlign w:val="center"/>
          </w:tcPr>
          <w:p w14:paraId="057FDEE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B1课程学习</w:t>
            </w:r>
          </w:p>
        </w:tc>
        <w:tc>
          <w:tcPr>
            <w:tcW w:w="2279" w:type="dxa"/>
            <w:gridSpan w:val="2"/>
            <w:tcBorders>
              <w:top w:val="double" w:color="auto" w:sz="4" w:space="0"/>
            </w:tcBorders>
            <w:vAlign w:val="center"/>
          </w:tcPr>
          <w:p w14:paraId="653CCA5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B11前10%</w:t>
            </w:r>
          </w:p>
        </w:tc>
        <w:tc>
          <w:tcPr>
            <w:tcW w:w="1133" w:type="dxa"/>
            <w:tcBorders>
              <w:top w:val="double" w:color="auto" w:sz="4" w:space="0"/>
            </w:tcBorders>
            <w:vAlign w:val="center"/>
          </w:tcPr>
          <w:p w14:paraId="3B8D83A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20分</w:t>
            </w:r>
          </w:p>
        </w:tc>
        <w:tc>
          <w:tcPr>
            <w:tcW w:w="8383" w:type="dxa"/>
            <w:gridSpan w:val="3"/>
            <w:vMerge w:val="restart"/>
            <w:tcBorders>
              <w:top w:val="double" w:color="auto" w:sz="4" w:space="0"/>
            </w:tcBorders>
            <w:vAlign w:val="center"/>
          </w:tcPr>
          <w:p w14:paraId="12BFE0B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lang w:eastAsia="zh-CN"/>
              </w:rPr>
            </w:pPr>
            <w:r>
              <w:rPr>
                <w:rFonts w:hint="eastAsia" w:ascii="仿宋_GB2312" w:hAnsi="仿宋_GB2312" w:eastAsia="仿宋_GB2312" w:cs="仿宋_GB2312"/>
                <w:color w:val="auto"/>
                <w:sz w:val="21"/>
                <w:szCs w:val="21"/>
                <w:highlight w:val="none"/>
              </w:rPr>
              <w:t>B</w:t>
            </w:r>
            <w:r>
              <w:rPr>
                <w:rFonts w:hint="eastAsia" w:ascii="仿宋_GB2312" w:hAnsi="仿宋_GB2312" w:eastAsia="仿宋_GB2312" w:cs="仿宋_GB2312"/>
                <w:color w:val="auto"/>
                <w:sz w:val="21"/>
                <w:szCs w:val="21"/>
                <w:highlight w:val="none"/>
                <w:lang w:val="en-US" w:eastAsia="zh-CN"/>
              </w:rPr>
              <w:t>11—B</w:t>
            </w:r>
            <w:r>
              <w:rPr>
                <w:rFonts w:hint="eastAsia" w:ascii="仿宋_GB2312" w:hAnsi="仿宋_GB2312" w:eastAsia="仿宋_GB2312" w:cs="仿宋_GB2312"/>
                <w:color w:val="auto"/>
                <w:sz w:val="21"/>
                <w:szCs w:val="21"/>
                <w:highlight w:val="none"/>
              </w:rPr>
              <w:t>1</w:t>
            </w:r>
            <w:r>
              <w:rPr>
                <w:rFonts w:hint="eastAsia" w:ascii="仿宋_GB2312" w:hAnsi="仿宋_GB2312" w:eastAsia="仿宋_GB2312" w:cs="仿宋_GB2312"/>
                <w:color w:val="auto"/>
                <w:sz w:val="21"/>
                <w:szCs w:val="21"/>
                <w:highlight w:val="none"/>
                <w:lang w:val="en-US" w:eastAsia="zh-CN"/>
              </w:rPr>
              <w:t>3</w:t>
            </w:r>
            <w:r>
              <w:rPr>
                <w:rFonts w:hint="eastAsia" w:ascii="仿宋_GB2312" w:hAnsi="仿宋_GB2312" w:eastAsia="仿宋_GB2312" w:cs="仿宋_GB2312"/>
                <w:color w:val="auto"/>
                <w:sz w:val="21"/>
                <w:szCs w:val="21"/>
                <w:highlight w:val="none"/>
              </w:rPr>
              <w:t>课程分数积分等于课程成绩乘以对应课程学分之和除以应修总学分</w:t>
            </w:r>
            <w:r>
              <w:rPr>
                <w:rFonts w:hint="eastAsia" w:ascii="仿宋_GB2312" w:hAnsi="仿宋_GB2312" w:eastAsia="仿宋_GB2312" w:cs="仿宋_GB2312"/>
                <w:color w:val="auto"/>
                <w:sz w:val="21"/>
                <w:szCs w:val="21"/>
                <w:highlight w:val="none"/>
                <w:lang w:eastAsia="zh-CN"/>
              </w:rPr>
              <w:t>。</w:t>
            </w:r>
          </w:p>
          <w:p w14:paraId="05BF101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不满足应修总学分的分以下3种情况考虑1.多选一门或几门课程的，在达到应修总学分前提下，选择课程成绩高的来计算，但必修课程必须计算在内；2.所选课程总学分超出应修总学分，且不能通过选择计算科目来达到应修总学分的，可将应修总学分替换为实际所获得学分；3.所获学分少于应修总学分的，仍旧按应修总学分计算）。B21中期考核等级以学院考核为准。硕士二年级参评按B1课程学习成绩加分执行，硕士三年级参评按B2中期考核成绩加分执行。在参评学年，研究生必修课不及格且补考或重修未通过者，没有参评资格。</w:t>
            </w:r>
          </w:p>
        </w:tc>
      </w:tr>
      <w:tr w14:paraId="56A5E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540" w:type="dxa"/>
            <w:vMerge w:val="continue"/>
            <w:vAlign w:val="center"/>
          </w:tcPr>
          <w:p w14:paraId="43EC190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627" w:type="dxa"/>
            <w:vMerge w:val="continue"/>
            <w:vAlign w:val="center"/>
          </w:tcPr>
          <w:p w14:paraId="0F7BC10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2279" w:type="dxa"/>
            <w:gridSpan w:val="2"/>
            <w:tcBorders>
              <w:top w:val="single" w:color="auto" w:sz="4" w:space="0"/>
            </w:tcBorders>
            <w:vAlign w:val="center"/>
          </w:tcPr>
          <w:p w14:paraId="6310D29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B12前30%</w:t>
            </w:r>
          </w:p>
        </w:tc>
        <w:tc>
          <w:tcPr>
            <w:tcW w:w="1133" w:type="dxa"/>
            <w:tcBorders>
              <w:top w:val="single" w:color="auto" w:sz="4" w:space="0"/>
            </w:tcBorders>
            <w:vAlign w:val="center"/>
          </w:tcPr>
          <w:p w14:paraId="6828B8A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15分</w:t>
            </w:r>
          </w:p>
        </w:tc>
        <w:tc>
          <w:tcPr>
            <w:tcW w:w="8383" w:type="dxa"/>
            <w:gridSpan w:val="3"/>
            <w:vMerge w:val="continue"/>
            <w:vAlign w:val="center"/>
          </w:tcPr>
          <w:p w14:paraId="4113D87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p>
        </w:tc>
      </w:tr>
      <w:tr w14:paraId="12A29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540" w:type="dxa"/>
            <w:vMerge w:val="continue"/>
            <w:vAlign w:val="center"/>
          </w:tcPr>
          <w:p w14:paraId="621CD5C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627" w:type="dxa"/>
            <w:vMerge w:val="continue"/>
            <w:vAlign w:val="center"/>
          </w:tcPr>
          <w:p w14:paraId="61FC391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2279" w:type="dxa"/>
            <w:gridSpan w:val="2"/>
            <w:tcBorders>
              <w:top w:val="single" w:color="auto" w:sz="4" w:space="0"/>
            </w:tcBorders>
            <w:vAlign w:val="center"/>
          </w:tcPr>
          <w:p w14:paraId="1D6C82F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B13前50%</w:t>
            </w:r>
          </w:p>
        </w:tc>
        <w:tc>
          <w:tcPr>
            <w:tcW w:w="1133" w:type="dxa"/>
            <w:tcBorders>
              <w:top w:val="single" w:color="auto" w:sz="4" w:space="0"/>
            </w:tcBorders>
            <w:vAlign w:val="center"/>
          </w:tcPr>
          <w:p w14:paraId="3867DA9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10分</w:t>
            </w:r>
          </w:p>
        </w:tc>
        <w:tc>
          <w:tcPr>
            <w:tcW w:w="8383" w:type="dxa"/>
            <w:gridSpan w:val="3"/>
            <w:vMerge w:val="continue"/>
            <w:vAlign w:val="center"/>
          </w:tcPr>
          <w:p w14:paraId="62DC213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p>
        </w:tc>
      </w:tr>
      <w:tr w14:paraId="1BE28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540" w:type="dxa"/>
            <w:vMerge w:val="continue"/>
            <w:vAlign w:val="center"/>
          </w:tcPr>
          <w:p w14:paraId="7187106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627" w:type="dxa"/>
            <w:tcBorders>
              <w:top w:val="single" w:color="auto" w:sz="4" w:space="0"/>
            </w:tcBorders>
            <w:vAlign w:val="center"/>
          </w:tcPr>
          <w:p w14:paraId="369E07E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B2中期考核</w:t>
            </w:r>
          </w:p>
        </w:tc>
        <w:tc>
          <w:tcPr>
            <w:tcW w:w="2279" w:type="dxa"/>
            <w:gridSpan w:val="2"/>
            <w:tcBorders>
              <w:top w:val="single" w:color="auto" w:sz="4" w:space="0"/>
            </w:tcBorders>
            <w:vAlign w:val="center"/>
          </w:tcPr>
          <w:p w14:paraId="293803A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B21中期考核合格</w:t>
            </w:r>
          </w:p>
        </w:tc>
        <w:tc>
          <w:tcPr>
            <w:tcW w:w="1133" w:type="dxa"/>
            <w:tcBorders>
              <w:top w:val="single" w:color="auto" w:sz="4" w:space="0"/>
            </w:tcBorders>
            <w:vAlign w:val="center"/>
          </w:tcPr>
          <w:p w14:paraId="11E70CE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仿宋_GB2312" w:hAnsi="仿宋_GB2312" w:eastAsia="仿宋_GB2312" w:cs="仿宋_GB2312"/>
                <w:color w:val="auto"/>
                <w:sz w:val="21"/>
                <w:szCs w:val="21"/>
                <w:highlight w:val="none"/>
                <w:lang w:eastAsia="zh-CN"/>
              </w:rPr>
            </w:pPr>
            <w:r>
              <w:rPr>
                <w:rFonts w:hint="eastAsia" w:ascii="仿宋_GB2312" w:hAnsi="仿宋_GB2312" w:eastAsia="仿宋_GB2312" w:cs="仿宋_GB2312"/>
                <w:color w:val="auto"/>
                <w:sz w:val="21"/>
                <w:szCs w:val="21"/>
                <w:highlight w:val="none"/>
              </w:rPr>
              <w:t>5分</w:t>
            </w:r>
          </w:p>
        </w:tc>
        <w:tc>
          <w:tcPr>
            <w:tcW w:w="8383" w:type="dxa"/>
            <w:gridSpan w:val="3"/>
            <w:vMerge w:val="continue"/>
            <w:vAlign w:val="center"/>
          </w:tcPr>
          <w:p w14:paraId="44D9141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p>
        </w:tc>
      </w:tr>
      <w:tr w14:paraId="64BB2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47" w:hRule="atLeast"/>
          <w:jc w:val="center"/>
        </w:trPr>
        <w:tc>
          <w:tcPr>
            <w:tcW w:w="1540" w:type="dxa"/>
            <w:vMerge w:val="continue"/>
            <w:vAlign w:val="center"/>
          </w:tcPr>
          <w:p w14:paraId="489B966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627" w:type="dxa"/>
            <w:vMerge w:val="restart"/>
            <w:tcBorders>
              <w:top w:val="single" w:color="auto" w:sz="4" w:space="0"/>
              <w:bottom w:val="single" w:color="auto" w:sz="4" w:space="0"/>
            </w:tcBorders>
            <w:vAlign w:val="center"/>
          </w:tcPr>
          <w:p w14:paraId="43680D5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B3境外交流</w:t>
            </w:r>
          </w:p>
        </w:tc>
        <w:tc>
          <w:tcPr>
            <w:tcW w:w="2279" w:type="dxa"/>
            <w:gridSpan w:val="2"/>
            <w:tcBorders>
              <w:top w:val="single" w:color="auto" w:sz="4" w:space="0"/>
              <w:bottom w:val="single" w:color="auto" w:sz="4" w:space="0"/>
            </w:tcBorders>
            <w:vAlign w:val="center"/>
          </w:tcPr>
          <w:p w14:paraId="144586D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B31三个月以下</w:t>
            </w:r>
          </w:p>
        </w:tc>
        <w:tc>
          <w:tcPr>
            <w:tcW w:w="1133" w:type="dxa"/>
            <w:tcBorders>
              <w:top w:val="single" w:color="auto" w:sz="4" w:space="0"/>
              <w:bottom w:val="single" w:color="auto" w:sz="4" w:space="0"/>
            </w:tcBorders>
            <w:vAlign w:val="center"/>
          </w:tcPr>
          <w:p w14:paraId="25828C9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10分</w:t>
            </w:r>
          </w:p>
        </w:tc>
        <w:tc>
          <w:tcPr>
            <w:tcW w:w="8383" w:type="dxa"/>
            <w:gridSpan w:val="3"/>
            <w:vMerge w:val="restart"/>
            <w:tcBorders>
              <w:top w:val="single" w:color="auto" w:sz="4" w:space="0"/>
              <w:bottom w:val="single" w:color="auto" w:sz="4" w:space="0"/>
            </w:tcBorders>
            <w:vAlign w:val="center"/>
          </w:tcPr>
          <w:p w14:paraId="304BA45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lang w:eastAsia="zh-CN"/>
              </w:rPr>
            </w:pPr>
            <w:r>
              <w:rPr>
                <w:rFonts w:hint="eastAsia" w:ascii="仿宋_GB2312" w:hAnsi="仿宋_GB2312" w:eastAsia="仿宋_GB2312" w:cs="仿宋_GB2312"/>
                <w:color w:val="auto"/>
                <w:sz w:val="21"/>
                <w:szCs w:val="21"/>
                <w:highlight w:val="none"/>
              </w:rPr>
              <w:t xml:space="preserve">B31~B33以学院研究生秘书、研究生院备案为准。 </w:t>
            </w:r>
            <w:r>
              <w:rPr>
                <w:rFonts w:hint="eastAsia" w:ascii="仿宋_GB2312" w:hAnsi="仿宋_GB2312" w:eastAsia="仿宋_GB2312" w:cs="仿宋_GB2312"/>
                <w:color w:val="auto"/>
                <w:sz w:val="21"/>
                <w:szCs w:val="21"/>
                <w:highlight w:val="none"/>
                <w:lang w:eastAsia="zh-CN"/>
              </w:rPr>
              <w:t>（</w:t>
            </w:r>
            <w:r>
              <w:rPr>
                <w:rFonts w:hint="eastAsia" w:ascii="仿宋_GB2312" w:hAnsi="仿宋_GB2312" w:eastAsia="仿宋_GB2312" w:cs="仿宋_GB2312"/>
                <w:color w:val="auto"/>
                <w:sz w:val="21"/>
                <w:szCs w:val="21"/>
                <w:highlight w:val="none"/>
                <w:lang w:val="en-US" w:eastAsia="zh-CN"/>
              </w:rPr>
              <w:t>线上境外交流学习项目加5分</w:t>
            </w:r>
            <w:r>
              <w:rPr>
                <w:rFonts w:hint="eastAsia" w:ascii="仿宋_GB2312" w:hAnsi="仿宋_GB2312" w:eastAsia="仿宋_GB2312" w:cs="仿宋_GB2312"/>
                <w:color w:val="auto"/>
                <w:sz w:val="21"/>
                <w:szCs w:val="21"/>
                <w:highlight w:val="none"/>
                <w:lang w:eastAsia="zh-CN"/>
              </w:rPr>
              <w:t>）</w:t>
            </w:r>
          </w:p>
        </w:tc>
      </w:tr>
      <w:tr w14:paraId="08B4C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540" w:type="dxa"/>
            <w:vMerge w:val="continue"/>
            <w:vAlign w:val="center"/>
          </w:tcPr>
          <w:p w14:paraId="4EB7E281">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eastAsia" w:ascii="仿宋_GB2312" w:hAnsi="仿宋_GB2312" w:eastAsia="仿宋_GB2312" w:cs="仿宋_GB2312"/>
                <w:color w:val="auto"/>
                <w:sz w:val="21"/>
                <w:szCs w:val="21"/>
                <w:highlight w:val="none"/>
              </w:rPr>
            </w:pPr>
          </w:p>
        </w:tc>
        <w:tc>
          <w:tcPr>
            <w:tcW w:w="1627" w:type="dxa"/>
            <w:vMerge w:val="continue"/>
            <w:vAlign w:val="center"/>
          </w:tcPr>
          <w:p w14:paraId="7E342122">
            <w:pPr>
              <w:keepNext w:val="0"/>
              <w:keepLines w:val="0"/>
              <w:pageBreakBefore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eastAsia" w:ascii="仿宋_GB2312" w:hAnsi="仿宋_GB2312" w:eastAsia="仿宋_GB2312" w:cs="仿宋_GB2312"/>
                <w:color w:val="auto"/>
                <w:sz w:val="21"/>
                <w:szCs w:val="21"/>
                <w:highlight w:val="none"/>
              </w:rPr>
            </w:pPr>
          </w:p>
        </w:tc>
        <w:tc>
          <w:tcPr>
            <w:tcW w:w="2279" w:type="dxa"/>
            <w:gridSpan w:val="2"/>
            <w:vAlign w:val="center"/>
          </w:tcPr>
          <w:p w14:paraId="59ADBA6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B32三（含）至六个月</w:t>
            </w:r>
          </w:p>
        </w:tc>
        <w:tc>
          <w:tcPr>
            <w:tcW w:w="1133" w:type="dxa"/>
            <w:vAlign w:val="center"/>
          </w:tcPr>
          <w:p w14:paraId="42C7442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15分</w:t>
            </w:r>
          </w:p>
        </w:tc>
        <w:tc>
          <w:tcPr>
            <w:tcW w:w="8383" w:type="dxa"/>
            <w:gridSpan w:val="3"/>
            <w:vMerge w:val="continue"/>
            <w:vAlign w:val="center"/>
          </w:tcPr>
          <w:p w14:paraId="27D329A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p>
        </w:tc>
      </w:tr>
      <w:tr w14:paraId="72D89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617" w:hRule="atLeast"/>
          <w:jc w:val="center"/>
        </w:trPr>
        <w:tc>
          <w:tcPr>
            <w:tcW w:w="1540" w:type="dxa"/>
            <w:vMerge w:val="continue"/>
            <w:vAlign w:val="center"/>
          </w:tcPr>
          <w:p w14:paraId="769C8DF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627" w:type="dxa"/>
            <w:vMerge w:val="continue"/>
            <w:vAlign w:val="center"/>
          </w:tcPr>
          <w:p w14:paraId="5388B4B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2279" w:type="dxa"/>
            <w:gridSpan w:val="2"/>
            <w:vAlign w:val="center"/>
          </w:tcPr>
          <w:p w14:paraId="628D8F7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B33六个月（含）及以上</w:t>
            </w:r>
          </w:p>
        </w:tc>
        <w:tc>
          <w:tcPr>
            <w:tcW w:w="1133" w:type="dxa"/>
            <w:vAlign w:val="center"/>
          </w:tcPr>
          <w:p w14:paraId="5BA1C01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20分</w:t>
            </w:r>
          </w:p>
        </w:tc>
        <w:tc>
          <w:tcPr>
            <w:tcW w:w="8383" w:type="dxa"/>
            <w:gridSpan w:val="3"/>
            <w:vMerge w:val="continue"/>
            <w:vAlign w:val="center"/>
          </w:tcPr>
          <w:p w14:paraId="36CD928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p>
        </w:tc>
      </w:tr>
      <w:tr w14:paraId="1CF7D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540" w:type="dxa"/>
            <w:vMerge w:val="continue"/>
            <w:vAlign w:val="center"/>
          </w:tcPr>
          <w:p w14:paraId="62B532D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627" w:type="dxa"/>
            <w:vMerge w:val="restart"/>
            <w:vAlign w:val="center"/>
          </w:tcPr>
          <w:p w14:paraId="2733FCD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B4社会考试</w:t>
            </w:r>
          </w:p>
        </w:tc>
        <w:tc>
          <w:tcPr>
            <w:tcW w:w="2279" w:type="dxa"/>
            <w:gridSpan w:val="2"/>
            <w:vAlign w:val="center"/>
          </w:tcPr>
          <w:p w14:paraId="36C83AD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B41英语考试</w:t>
            </w:r>
          </w:p>
        </w:tc>
        <w:tc>
          <w:tcPr>
            <w:tcW w:w="1133" w:type="dxa"/>
            <w:vAlign w:val="center"/>
          </w:tcPr>
          <w:p w14:paraId="4E09244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5分</w:t>
            </w:r>
          </w:p>
        </w:tc>
        <w:tc>
          <w:tcPr>
            <w:tcW w:w="8383" w:type="dxa"/>
            <w:gridSpan w:val="3"/>
            <w:vAlign w:val="center"/>
          </w:tcPr>
          <w:p w14:paraId="5220A0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B41托福≥90、雅思≥6.5</w:t>
            </w:r>
            <w:r>
              <w:rPr>
                <w:rFonts w:hint="eastAsia" w:ascii="仿宋_GB2312" w:hAnsi="仿宋_GB2312" w:eastAsia="仿宋_GB2312" w:cs="仿宋_GB2312"/>
                <w:color w:val="auto"/>
                <w:sz w:val="21"/>
                <w:szCs w:val="21"/>
                <w:highlight w:val="none"/>
                <w:lang w:eastAsia="zh-CN"/>
              </w:rPr>
              <w:t>、</w:t>
            </w:r>
            <w:r>
              <w:rPr>
                <w:rFonts w:hint="eastAsia" w:ascii="仿宋_GB2312" w:hAnsi="仿宋_GB2312" w:eastAsia="仿宋_GB2312" w:cs="仿宋_GB2312"/>
                <w:color w:val="auto"/>
                <w:sz w:val="21"/>
                <w:szCs w:val="21"/>
                <w:highlight w:val="none"/>
                <w:lang w:val="en-US" w:eastAsia="zh-CN"/>
              </w:rPr>
              <w:t xml:space="preserve">GRE≥320，GMAT≥650 </w:t>
            </w:r>
            <w:r>
              <w:rPr>
                <w:rFonts w:hint="eastAsia" w:ascii="仿宋_GB2312" w:hAnsi="仿宋_GB2312" w:eastAsia="仿宋_GB2312" w:cs="仿宋_GB2312"/>
                <w:color w:val="auto"/>
                <w:sz w:val="21"/>
                <w:szCs w:val="21"/>
                <w:highlight w:val="none"/>
              </w:rPr>
              <w:t>等，需提供证明材料。</w:t>
            </w:r>
          </w:p>
        </w:tc>
      </w:tr>
      <w:tr w14:paraId="6C22A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599" w:hRule="atLeast"/>
          <w:jc w:val="center"/>
        </w:trPr>
        <w:tc>
          <w:tcPr>
            <w:tcW w:w="1540" w:type="dxa"/>
            <w:vMerge w:val="continue"/>
            <w:vAlign w:val="center"/>
          </w:tcPr>
          <w:p w14:paraId="12BF71C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627" w:type="dxa"/>
            <w:vMerge w:val="continue"/>
            <w:vAlign w:val="center"/>
          </w:tcPr>
          <w:p w14:paraId="529B8AA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2279" w:type="dxa"/>
            <w:gridSpan w:val="2"/>
            <w:tcBorders>
              <w:bottom w:val="single" w:color="auto" w:sz="4" w:space="0"/>
            </w:tcBorders>
            <w:vAlign w:val="center"/>
          </w:tcPr>
          <w:p w14:paraId="39E7D0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B42职业资格考试</w:t>
            </w:r>
          </w:p>
        </w:tc>
        <w:tc>
          <w:tcPr>
            <w:tcW w:w="1133" w:type="dxa"/>
            <w:vAlign w:val="center"/>
          </w:tcPr>
          <w:p w14:paraId="77E515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3分/项</w:t>
            </w:r>
          </w:p>
        </w:tc>
        <w:tc>
          <w:tcPr>
            <w:tcW w:w="8383" w:type="dxa"/>
            <w:gridSpan w:val="3"/>
            <w:vAlign w:val="center"/>
          </w:tcPr>
          <w:p w14:paraId="14135B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B42学院确定各专业学位类别（领域）对应的职业资格考试名称，每个专业学位类别（领域）确定1-2种。（需提供证书复印件）</w:t>
            </w:r>
          </w:p>
        </w:tc>
      </w:tr>
      <w:tr w14:paraId="586C7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gridAfter w:val="1"/>
          <w:wAfter w:w="83" w:type="dxa"/>
          <w:trHeight w:val="468" w:hRule="atLeast"/>
          <w:jc w:val="center"/>
        </w:trPr>
        <w:tc>
          <w:tcPr>
            <w:tcW w:w="1540" w:type="dxa"/>
            <w:vMerge w:val="restart"/>
            <w:tcBorders>
              <w:top w:val="double" w:color="auto" w:sz="4" w:space="0"/>
            </w:tcBorders>
            <w:vAlign w:val="center"/>
          </w:tcPr>
          <w:p w14:paraId="53508FE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p w14:paraId="158E0EF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p w14:paraId="0985FFA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p w14:paraId="54BDD3B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p w14:paraId="037D8D7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C科研能力</w:t>
            </w:r>
          </w:p>
        </w:tc>
        <w:tc>
          <w:tcPr>
            <w:tcW w:w="1627" w:type="dxa"/>
            <w:vMerge w:val="restart"/>
            <w:tcBorders>
              <w:top w:val="double" w:color="auto" w:sz="4" w:space="0"/>
            </w:tcBorders>
            <w:vAlign w:val="center"/>
          </w:tcPr>
          <w:p w14:paraId="725F758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C1学术论文</w:t>
            </w:r>
          </w:p>
          <w:p w14:paraId="1EF6CB0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仿宋_GB2312" w:hAnsi="仿宋_GB2312" w:eastAsia="仿宋_GB2312" w:cs="仿宋_GB2312"/>
                <w:color w:val="auto"/>
                <w:sz w:val="21"/>
                <w:szCs w:val="21"/>
                <w:highlight w:val="none"/>
              </w:rPr>
            </w:pPr>
          </w:p>
        </w:tc>
        <w:tc>
          <w:tcPr>
            <w:tcW w:w="2279" w:type="dxa"/>
            <w:gridSpan w:val="2"/>
            <w:tcBorders>
              <w:top w:val="single" w:color="auto" w:sz="4" w:space="0"/>
              <w:tl2br w:val="single" w:color="auto" w:sz="4" w:space="0"/>
            </w:tcBorders>
            <w:vAlign w:val="center"/>
          </w:tcPr>
          <w:p w14:paraId="398656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840" w:firstLineChars="400"/>
              <w:jc w:val="left"/>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档次与分值</w:t>
            </w:r>
          </w:p>
          <w:p w14:paraId="41AA07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仿宋_GB2312" w:hAnsi="仿宋_GB2312" w:eastAsia="仿宋_GB2312" w:cs="仿宋_GB2312"/>
                <w:b/>
                <w:color w:val="auto"/>
                <w:sz w:val="21"/>
                <w:szCs w:val="21"/>
                <w:highlight w:val="none"/>
              </w:rPr>
            </w:pPr>
            <w:r>
              <w:rPr>
                <w:rFonts w:hint="eastAsia" w:ascii="仿宋_GB2312" w:hAnsi="仿宋_GB2312" w:eastAsia="仿宋_GB2312" w:cs="仿宋_GB2312"/>
                <w:color w:val="auto"/>
                <w:sz w:val="21"/>
                <w:szCs w:val="21"/>
                <w:highlight w:val="none"/>
              </w:rPr>
              <w:t>学科类别</w:t>
            </w:r>
          </w:p>
        </w:tc>
        <w:tc>
          <w:tcPr>
            <w:tcW w:w="9433" w:type="dxa"/>
            <w:gridSpan w:val="3"/>
            <w:tcBorders>
              <w:top w:val="double" w:color="auto" w:sz="4" w:space="0"/>
            </w:tcBorders>
            <w:vAlign w:val="center"/>
          </w:tcPr>
          <w:p w14:paraId="667119F7">
            <w:pPr>
              <w:pStyle w:val="2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理工科类</w:t>
            </w:r>
          </w:p>
          <w:p w14:paraId="79F01C5B">
            <w:pPr>
              <w:pStyle w:val="2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b/>
                <w:color w:val="auto"/>
                <w:sz w:val="21"/>
                <w:szCs w:val="21"/>
                <w:highlight w:val="none"/>
              </w:rPr>
            </w:pPr>
            <w:r>
              <w:rPr>
                <w:rFonts w:hint="eastAsia" w:ascii="仿宋_GB2312" w:hAnsi="仿宋_GB2312" w:eastAsia="仿宋_GB2312" w:cs="仿宋_GB2312"/>
                <w:color w:val="auto"/>
                <w:kern w:val="2"/>
                <w:sz w:val="21"/>
                <w:szCs w:val="21"/>
                <w:highlight w:val="none"/>
                <w:lang w:val="en-US" w:eastAsia="zh-CN" w:bidi="ar-SA"/>
              </w:rPr>
              <w:t>参考《常州大学自然科学科研业绩核算办法》（常大〔2025〕5号）</w:t>
            </w:r>
          </w:p>
        </w:tc>
      </w:tr>
      <w:tr w14:paraId="328D2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gridAfter w:val="1"/>
          <w:wAfter w:w="83" w:type="dxa"/>
          <w:jc w:val="center"/>
        </w:trPr>
        <w:tc>
          <w:tcPr>
            <w:tcW w:w="1540" w:type="dxa"/>
            <w:vMerge w:val="continue"/>
            <w:vAlign w:val="center"/>
          </w:tcPr>
          <w:p w14:paraId="1685057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627" w:type="dxa"/>
            <w:vMerge w:val="continue"/>
            <w:vAlign w:val="center"/>
          </w:tcPr>
          <w:p w14:paraId="665C99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仿宋_GB2312" w:hAnsi="仿宋_GB2312" w:eastAsia="仿宋_GB2312" w:cs="仿宋_GB2312"/>
                <w:color w:val="auto"/>
                <w:sz w:val="21"/>
                <w:szCs w:val="21"/>
                <w:highlight w:val="none"/>
              </w:rPr>
            </w:pPr>
          </w:p>
        </w:tc>
        <w:tc>
          <w:tcPr>
            <w:tcW w:w="1064" w:type="dxa"/>
            <w:vAlign w:val="center"/>
          </w:tcPr>
          <w:p w14:paraId="4716BA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C11一档</w:t>
            </w:r>
          </w:p>
        </w:tc>
        <w:tc>
          <w:tcPr>
            <w:tcW w:w="1215" w:type="dxa"/>
            <w:shd w:val="clear" w:color="auto" w:fill="FFFFFF" w:themeFill="background1"/>
            <w:vAlign w:val="center"/>
          </w:tcPr>
          <w:p w14:paraId="59A7AB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200分/篇</w:t>
            </w:r>
          </w:p>
        </w:tc>
        <w:tc>
          <w:tcPr>
            <w:tcW w:w="9433" w:type="dxa"/>
            <w:gridSpan w:val="3"/>
            <w:vAlign w:val="center"/>
          </w:tcPr>
          <w:p w14:paraId="248C76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Nature、Science、Cell</w:t>
            </w:r>
          </w:p>
        </w:tc>
      </w:tr>
      <w:tr w14:paraId="1041A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gridAfter w:val="1"/>
          <w:wAfter w:w="83" w:type="dxa"/>
          <w:jc w:val="center"/>
        </w:trPr>
        <w:tc>
          <w:tcPr>
            <w:tcW w:w="1540" w:type="dxa"/>
            <w:vMerge w:val="continue"/>
            <w:vAlign w:val="center"/>
          </w:tcPr>
          <w:p w14:paraId="2A2EFEB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627" w:type="dxa"/>
            <w:vMerge w:val="continue"/>
            <w:vAlign w:val="center"/>
          </w:tcPr>
          <w:p w14:paraId="70A10C3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仿宋_GB2312" w:hAnsi="仿宋_GB2312" w:eastAsia="仿宋_GB2312" w:cs="仿宋_GB2312"/>
                <w:color w:val="auto"/>
                <w:sz w:val="21"/>
                <w:szCs w:val="21"/>
                <w:highlight w:val="none"/>
              </w:rPr>
            </w:pPr>
          </w:p>
        </w:tc>
        <w:tc>
          <w:tcPr>
            <w:tcW w:w="1064" w:type="dxa"/>
            <w:vAlign w:val="center"/>
          </w:tcPr>
          <w:p w14:paraId="6025C8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C12二档</w:t>
            </w:r>
          </w:p>
        </w:tc>
        <w:tc>
          <w:tcPr>
            <w:tcW w:w="1215" w:type="dxa"/>
            <w:vAlign w:val="center"/>
          </w:tcPr>
          <w:p w14:paraId="177DAB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1</w:t>
            </w:r>
            <w:r>
              <w:rPr>
                <w:rFonts w:hint="eastAsia" w:ascii="仿宋_GB2312" w:hAnsi="仿宋_GB2312" w:eastAsia="仿宋_GB2312" w:cs="仿宋_GB2312"/>
                <w:color w:val="auto"/>
                <w:sz w:val="21"/>
                <w:szCs w:val="21"/>
                <w:highlight w:val="none"/>
                <w:lang w:val="en-US" w:eastAsia="zh-CN"/>
              </w:rPr>
              <w:t>8</w:t>
            </w:r>
            <w:r>
              <w:rPr>
                <w:rFonts w:hint="eastAsia" w:ascii="仿宋_GB2312" w:hAnsi="仿宋_GB2312" w:eastAsia="仿宋_GB2312" w:cs="仿宋_GB2312"/>
                <w:color w:val="auto"/>
                <w:sz w:val="21"/>
                <w:szCs w:val="21"/>
                <w:highlight w:val="none"/>
              </w:rPr>
              <w:t>0分/篇</w:t>
            </w:r>
          </w:p>
        </w:tc>
        <w:tc>
          <w:tcPr>
            <w:tcW w:w="9433" w:type="dxa"/>
            <w:gridSpan w:val="3"/>
            <w:vAlign w:val="center"/>
          </w:tcPr>
          <w:p w14:paraId="582FC1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val="en-US" w:eastAsia="zh-CN"/>
              </w:rPr>
              <w:t>Science子刊、Nature子刊、PNAS</w:t>
            </w:r>
          </w:p>
        </w:tc>
      </w:tr>
      <w:tr w14:paraId="26DC9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gridAfter w:val="1"/>
          <w:wAfter w:w="83" w:type="dxa"/>
          <w:jc w:val="center"/>
        </w:trPr>
        <w:tc>
          <w:tcPr>
            <w:tcW w:w="1540" w:type="dxa"/>
            <w:vMerge w:val="continue"/>
            <w:vAlign w:val="center"/>
          </w:tcPr>
          <w:p w14:paraId="7A39004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627" w:type="dxa"/>
            <w:vMerge w:val="continue"/>
            <w:vAlign w:val="center"/>
          </w:tcPr>
          <w:p w14:paraId="756896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仿宋_GB2312" w:hAnsi="仿宋_GB2312" w:eastAsia="仿宋_GB2312" w:cs="仿宋_GB2312"/>
                <w:color w:val="auto"/>
                <w:sz w:val="21"/>
                <w:szCs w:val="21"/>
                <w:highlight w:val="none"/>
              </w:rPr>
            </w:pPr>
          </w:p>
        </w:tc>
        <w:tc>
          <w:tcPr>
            <w:tcW w:w="1064" w:type="dxa"/>
            <w:vAlign w:val="center"/>
          </w:tcPr>
          <w:p w14:paraId="5C1AB7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C13三档</w:t>
            </w:r>
          </w:p>
        </w:tc>
        <w:tc>
          <w:tcPr>
            <w:tcW w:w="1215" w:type="dxa"/>
            <w:vAlign w:val="center"/>
          </w:tcPr>
          <w:p w14:paraId="433415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val="en-US" w:eastAsia="zh-CN"/>
              </w:rPr>
              <w:t>12</w:t>
            </w:r>
            <w:r>
              <w:rPr>
                <w:rFonts w:hint="eastAsia" w:ascii="仿宋_GB2312" w:hAnsi="仿宋_GB2312" w:eastAsia="仿宋_GB2312" w:cs="仿宋_GB2312"/>
                <w:color w:val="auto"/>
                <w:sz w:val="21"/>
                <w:szCs w:val="21"/>
                <w:highlight w:val="none"/>
              </w:rPr>
              <w:t>0分/篇</w:t>
            </w:r>
          </w:p>
        </w:tc>
        <w:tc>
          <w:tcPr>
            <w:tcW w:w="9433" w:type="dxa"/>
            <w:gridSpan w:val="3"/>
            <w:vAlign w:val="center"/>
          </w:tcPr>
          <w:p w14:paraId="453CB1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val="en-US" w:eastAsia="zh-CN"/>
              </w:rPr>
              <w:t>学科顶级期刊（清单见《常州大学自然科学科研业绩核算办法》常大〔2025〕5号）</w:t>
            </w:r>
          </w:p>
        </w:tc>
      </w:tr>
      <w:tr w14:paraId="5C0A1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gridAfter w:val="1"/>
          <w:wAfter w:w="83" w:type="dxa"/>
          <w:jc w:val="center"/>
        </w:trPr>
        <w:tc>
          <w:tcPr>
            <w:tcW w:w="1540" w:type="dxa"/>
            <w:vMerge w:val="continue"/>
            <w:vAlign w:val="center"/>
          </w:tcPr>
          <w:p w14:paraId="7E4CC6A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627" w:type="dxa"/>
            <w:vMerge w:val="continue"/>
            <w:vAlign w:val="center"/>
          </w:tcPr>
          <w:p w14:paraId="529948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仿宋_GB2312" w:hAnsi="仿宋_GB2312" w:eastAsia="仿宋_GB2312" w:cs="仿宋_GB2312"/>
                <w:color w:val="auto"/>
                <w:sz w:val="21"/>
                <w:szCs w:val="21"/>
                <w:highlight w:val="none"/>
              </w:rPr>
            </w:pPr>
          </w:p>
        </w:tc>
        <w:tc>
          <w:tcPr>
            <w:tcW w:w="1064" w:type="dxa"/>
            <w:vAlign w:val="center"/>
          </w:tcPr>
          <w:p w14:paraId="7851637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C14四档</w:t>
            </w:r>
          </w:p>
        </w:tc>
        <w:tc>
          <w:tcPr>
            <w:tcW w:w="1215" w:type="dxa"/>
            <w:vAlign w:val="center"/>
          </w:tcPr>
          <w:p w14:paraId="08EBF8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val="en-US" w:eastAsia="zh-CN"/>
              </w:rPr>
              <w:t>100分</w:t>
            </w:r>
            <w:r>
              <w:rPr>
                <w:rFonts w:hint="eastAsia" w:ascii="仿宋_GB2312" w:hAnsi="仿宋_GB2312" w:eastAsia="仿宋_GB2312" w:cs="仿宋_GB2312"/>
                <w:color w:val="auto"/>
                <w:sz w:val="21"/>
                <w:szCs w:val="21"/>
                <w:highlight w:val="none"/>
              </w:rPr>
              <w:t>/篇</w:t>
            </w:r>
          </w:p>
        </w:tc>
        <w:tc>
          <w:tcPr>
            <w:tcW w:w="9433" w:type="dxa"/>
            <w:gridSpan w:val="3"/>
            <w:vAlign w:val="center"/>
          </w:tcPr>
          <w:p w14:paraId="068D88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val="en-US" w:eastAsia="zh-CN"/>
              </w:rPr>
              <w:t>SCI（Ⅰ区）、顶级 CCF-A 会议（清单见《常州大学自然科学科研业绩核算办法》常大〔2025〕5号）、除去T1、A1、A2 之外的 Nature 指数期刊和中国科技期刊卓越行动计划——领军期刊、《中国科学》、《科学通报》</w:t>
            </w:r>
          </w:p>
        </w:tc>
      </w:tr>
      <w:tr w14:paraId="50265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gridAfter w:val="1"/>
          <w:wAfter w:w="83" w:type="dxa"/>
          <w:jc w:val="center"/>
        </w:trPr>
        <w:tc>
          <w:tcPr>
            <w:tcW w:w="1540" w:type="dxa"/>
            <w:vMerge w:val="continue"/>
            <w:vAlign w:val="center"/>
          </w:tcPr>
          <w:p w14:paraId="19CD2C6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627" w:type="dxa"/>
            <w:vMerge w:val="continue"/>
            <w:vAlign w:val="center"/>
          </w:tcPr>
          <w:p w14:paraId="2608DF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仿宋_GB2312" w:hAnsi="仿宋_GB2312" w:eastAsia="仿宋_GB2312" w:cs="仿宋_GB2312"/>
                <w:color w:val="auto"/>
                <w:sz w:val="21"/>
                <w:szCs w:val="21"/>
                <w:highlight w:val="none"/>
              </w:rPr>
            </w:pPr>
          </w:p>
        </w:tc>
        <w:tc>
          <w:tcPr>
            <w:tcW w:w="1064" w:type="dxa"/>
            <w:vAlign w:val="center"/>
          </w:tcPr>
          <w:p w14:paraId="538F53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C15五档</w:t>
            </w:r>
          </w:p>
        </w:tc>
        <w:tc>
          <w:tcPr>
            <w:tcW w:w="1215" w:type="dxa"/>
            <w:vAlign w:val="center"/>
          </w:tcPr>
          <w:p w14:paraId="75ED5E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val="en-US" w:eastAsia="zh-CN"/>
              </w:rPr>
              <w:t>4</w:t>
            </w:r>
            <w:r>
              <w:rPr>
                <w:rFonts w:hint="eastAsia" w:ascii="仿宋_GB2312" w:hAnsi="仿宋_GB2312" w:eastAsia="仿宋_GB2312" w:cs="仿宋_GB2312"/>
                <w:color w:val="auto"/>
                <w:sz w:val="21"/>
                <w:szCs w:val="21"/>
                <w:highlight w:val="none"/>
              </w:rPr>
              <w:t>0分/篇</w:t>
            </w:r>
          </w:p>
        </w:tc>
        <w:tc>
          <w:tcPr>
            <w:tcW w:w="9433" w:type="dxa"/>
            <w:gridSpan w:val="3"/>
            <w:vAlign w:val="center"/>
          </w:tcPr>
          <w:p w14:paraId="53F0AC3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val="en-US" w:eastAsia="zh-CN"/>
              </w:rPr>
              <w:t>SCI（Ⅱ区）</w:t>
            </w:r>
          </w:p>
        </w:tc>
      </w:tr>
      <w:tr w14:paraId="25994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gridAfter w:val="1"/>
          <w:wAfter w:w="83" w:type="dxa"/>
          <w:jc w:val="center"/>
        </w:trPr>
        <w:tc>
          <w:tcPr>
            <w:tcW w:w="1540" w:type="dxa"/>
            <w:vMerge w:val="continue"/>
            <w:vAlign w:val="center"/>
          </w:tcPr>
          <w:p w14:paraId="542A9D9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627" w:type="dxa"/>
            <w:vMerge w:val="continue"/>
            <w:vAlign w:val="center"/>
          </w:tcPr>
          <w:p w14:paraId="3C59AF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仿宋_GB2312" w:hAnsi="仿宋_GB2312" w:eastAsia="仿宋_GB2312" w:cs="仿宋_GB2312"/>
                <w:color w:val="auto"/>
                <w:sz w:val="21"/>
                <w:szCs w:val="21"/>
                <w:highlight w:val="none"/>
              </w:rPr>
            </w:pPr>
          </w:p>
        </w:tc>
        <w:tc>
          <w:tcPr>
            <w:tcW w:w="1064" w:type="dxa"/>
            <w:vAlign w:val="center"/>
          </w:tcPr>
          <w:p w14:paraId="0CCEC1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C16六档</w:t>
            </w:r>
          </w:p>
        </w:tc>
        <w:tc>
          <w:tcPr>
            <w:tcW w:w="1215" w:type="dxa"/>
            <w:vAlign w:val="center"/>
          </w:tcPr>
          <w:p w14:paraId="31D1B8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val="en-US" w:eastAsia="zh-CN"/>
              </w:rPr>
              <w:t>25</w:t>
            </w:r>
            <w:r>
              <w:rPr>
                <w:rFonts w:hint="eastAsia" w:ascii="仿宋_GB2312" w:hAnsi="仿宋_GB2312" w:eastAsia="仿宋_GB2312" w:cs="仿宋_GB2312"/>
                <w:color w:val="auto"/>
                <w:sz w:val="21"/>
                <w:szCs w:val="21"/>
                <w:highlight w:val="none"/>
              </w:rPr>
              <w:t>分/篇</w:t>
            </w:r>
          </w:p>
        </w:tc>
        <w:tc>
          <w:tcPr>
            <w:tcW w:w="9433" w:type="dxa"/>
            <w:gridSpan w:val="3"/>
            <w:vAlign w:val="center"/>
          </w:tcPr>
          <w:p w14:paraId="637649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val="en-US" w:eastAsia="zh-CN"/>
              </w:rPr>
              <w:t>SCI（Ⅲ区）</w:t>
            </w:r>
          </w:p>
        </w:tc>
      </w:tr>
      <w:tr w14:paraId="77B82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gridAfter w:val="1"/>
          <w:wAfter w:w="83" w:type="dxa"/>
          <w:jc w:val="center"/>
        </w:trPr>
        <w:tc>
          <w:tcPr>
            <w:tcW w:w="1540" w:type="dxa"/>
            <w:vMerge w:val="continue"/>
            <w:vAlign w:val="center"/>
          </w:tcPr>
          <w:p w14:paraId="7753C03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627" w:type="dxa"/>
            <w:vMerge w:val="continue"/>
            <w:vAlign w:val="center"/>
          </w:tcPr>
          <w:p w14:paraId="12693F4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064" w:type="dxa"/>
            <w:vAlign w:val="center"/>
          </w:tcPr>
          <w:p w14:paraId="241EACF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C17七档</w:t>
            </w:r>
          </w:p>
        </w:tc>
        <w:tc>
          <w:tcPr>
            <w:tcW w:w="1215" w:type="dxa"/>
            <w:vAlign w:val="center"/>
          </w:tcPr>
          <w:p w14:paraId="54C90C5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2</w:t>
            </w:r>
            <w:r>
              <w:rPr>
                <w:rFonts w:hint="eastAsia" w:ascii="仿宋_GB2312" w:hAnsi="仿宋_GB2312" w:eastAsia="仿宋_GB2312" w:cs="仿宋_GB2312"/>
                <w:color w:val="auto"/>
                <w:sz w:val="21"/>
                <w:szCs w:val="21"/>
                <w:highlight w:val="none"/>
                <w:lang w:val="en-US" w:eastAsia="zh-CN"/>
              </w:rPr>
              <w:t>0</w:t>
            </w:r>
            <w:r>
              <w:rPr>
                <w:rFonts w:hint="eastAsia" w:ascii="仿宋_GB2312" w:hAnsi="仿宋_GB2312" w:eastAsia="仿宋_GB2312" w:cs="仿宋_GB2312"/>
                <w:color w:val="auto"/>
                <w:sz w:val="21"/>
                <w:szCs w:val="21"/>
                <w:highlight w:val="none"/>
              </w:rPr>
              <w:t>分/篇</w:t>
            </w:r>
          </w:p>
        </w:tc>
        <w:tc>
          <w:tcPr>
            <w:tcW w:w="9433" w:type="dxa"/>
            <w:gridSpan w:val="3"/>
            <w:vAlign w:val="center"/>
          </w:tcPr>
          <w:p w14:paraId="67F80A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val="en-US" w:eastAsia="zh-CN"/>
              </w:rPr>
              <w:t>SCI（Ⅳ区）、EI（JA）</w:t>
            </w:r>
          </w:p>
        </w:tc>
      </w:tr>
      <w:tr w14:paraId="4FF73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gridAfter w:val="1"/>
          <w:wAfter w:w="83" w:type="dxa"/>
          <w:jc w:val="center"/>
        </w:trPr>
        <w:tc>
          <w:tcPr>
            <w:tcW w:w="1540" w:type="dxa"/>
            <w:vMerge w:val="continue"/>
            <w:vAlign w:val="center"/>
          </w:tcPr>
          <w:p w14:paraId="158F598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627" w:type="dxa"/>
            <w:vMerge w:val="continue"/>
            <w:vAlign w:val="center"/>
          </w:tcPr>
          <w:p w14:paraId="60E7BE9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064" w:type="dxa"/>
            <w:vAlign w:val="center"/>
          </w:tcPr>
          <w:p w14:paraId="03E94B7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C18八档</w:t>
            </w:r>
          </w:p>
        </w:tc>
        <w:tc>
          <w:tcPr>
            <w:tcW w:w="1215" w:type="dxa"/>
            <w:vAlign w:val="center"/>
          </w:tcPr>
          <w:p w14:paraId="2A7E621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val="en-US" w:eastAsia="zh-CN"/>
              </w:rPr>
              <w:t>4</w:t>
            </w:r>
            <w:r>
              <w:rPr>
                <w:rFonts w:hint="eastAsia" w:ascii="仿宋_GB2312" w:hAnsi="仿宋_GB2312" w:eastAsia="仿宋_GB2312" w:cs="仿宋_GB2312"/>
                <w:color w:val="auto"/>
                <w:sz w:val="21"/>
                <w:szCs w:val="21"/>
                <w:highlight w:val="none"/>
              </w:rPr>
              <w:t>分/篇</w:t>
            </w:r>
          </w:p>
        </w:tc>
        <w:tc>
          <w:tcPr>
            <w:tcW w:w="9433" w:type="dxa"/>
            <w:gridSpan w:val="3"/>
            <w:vAlign w:val="center"/>
          </w:tcPr>
          <w:p w14:paraId="13F305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val="en-US" w:eastAsia="zh-CN"/>
              </w:rPr>
              <w:t>SCD源期刊</w:t>
            </w:r>
          </w:p>
        </w:tc>
      </w:tr>
      <w:tr w14:paraId="7F759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gridAfter w:val="1"/>
          <w:wAfter w:w="83" w:type="dxa"/>
          <w:jc w:val="center"/>
        </w:trPr>
        <w:tc>
          <w:tcPr>
            <w:tcW w:w="1540" w:type="dxa"/>
            <w:vMerge w:val="continue"/>
            <w:vAlign w:val="center"/>
          </w:tcPr>
          <w:p w14:paraId="594030F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627" w:type="dxa"/>
            <w:vAlign w:val="center"/>
          </w:tcPr>
          <w:p w14:paraId="62D4667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064" w:type="dxa"/>
            <w:vAlign w:val="center"/>
          </w:tcPr>
          <w:p w14:paraId="7B612CF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val="en-US" w:eastAsia="zh-CN"/>
              </w:rPr>
              <w:t>C19 九档</w:t>
            </w:r>
          </w:p>
        </w:tc>
        <w:tc>
          <w:tcPr>
            <w:tcW w:w="1215" w:type="dxa"/>
            <w:vAlign w:val="center"/>
          </w:tcPr>
          <w:p w14:paraId="6977AD1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2分/篇</w:t>
            </w:r>
          </w:p>
        </w:tc>
        <w:tc>
          <w:tcPr>
            <w:tcW w:w="9433" w:type="dxa"/>
            <w:gridSpan w:val="3"/>
            <w:vAlign w:val="center"/>
          </w:tcPr>
          <w:p w14:paraId="6E5662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北大中文核心期刊、常州大学学报（自然科学版）</w:t>
            </w:r>
          </w:p>
        </w:tc>
      </w:tr>
      <w:tr w14:paraId="502AD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gridAfter w:val="1"/>
          <w:wAfter w:w="83" w:type="dxa"/>
          <w:jc w:val="center"/>
        </w:trPr>
        <w:tc>
          <w:tcPr>
            <w:tcW w:w="1540" w:type="dxa"/>
            <w:vMerge w:val="continue"/>
            <w:vAlign w:val="center"/>
          </w:tcPr>
          <w:p w14:paraId="098BEBB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627" w:type="dxa"/>
            <w:vAlign w:val="center"/>
          </w:tcPr>
          <w:p w14:paraId="0A9F056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064" w:type="dxa"/>
            <w:vAlign w:val="center"/>
          </w:tcPr>
          <w:p w14:paraId="7395C41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C20 十档</w:t>
            </w:r>
          </w:p>
        </w:tc>
        <w:tc>
          <w:tcPr>
            <w:tcW w:w="1215" w:type="dxa"/>
            <w:vAlign w:val="center"/>
          </w:tcPr>
          <w:p w14:paraId="5F858AA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1分/篇</w:t>
            </w:r>
          </w:p>
        </w:tc>
        <w:tc>
          <w:tcPr>
            <w:tcW w:w="9433" w:type="dxa"/>
            <w:gridSpan w:val="3"/>
            <w:vAlign w:val="center"/>
          </w:tcPr>
          <w:p w14:paraId="0D2AC3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jc w:val="left"/>
              <w:textAlignment w:val="auto"/>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统计源期刊</w:t>
            </w:r>
          </w:p>
        </w:tc>
      </w:tr>
      <w:tr w14:paraId="2D74A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950" w:hRule="atLeast"/>
          <w:jc w:val="center"/>
        </w:trPr>
        <w:tc>
          <w:tcPr>
            <w:tcW w:w="1540" w:type="dxa"/>
            <w:vMerge w:val="continue"/>
            <w:vAlign w:val="center"/>
          </w:tcPr>
          <w:p w14:paraId="15065D3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627" w:type="dxa"/>
            <w:vAlign w:val="center"/>
          </w:tcPr>
          <w:p w14:paraId="54B07CD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C2 著作</w:t>
            </w:r>
          </w:p>
        </w:tc>
        <w:tc>
          <w:tcPr>
            <w:tcW w:w="1064" w:type="dxa"/>
            <w:vAlign w:val="center"/>
          </w:tcPr>
          <w:p w14:paraId="4CBDA78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C21独立撰写或参编著作</w:t>
            </w:r>
          </w:p>
        </w:tc>
        <w:tc>
          <w:tcPr>
            <w:tcW w:w="1215" w:type="dxa"/>
            <w:vAlign w:val="center"/>
          </w:tcPr>
          <w:p w14:paraId="513F1EE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1-10分</w:t>
            </w:r>
          </w:p>
        </w:tc>
        <w:tc>
          <w:tcPr>
            <w:tcW w:w="9516" w:type="dxa"/>
            <w:gridSpan w:val="4"/>
          </w:tcPr>
          <w:p w14:paraId="6D4CAD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lang w:eastAsia="zh-CN"/>
              </w:rPr>
            </w:pPr>
            <w:r>
              <w:rPr>
                <w:rFonts w:hint="eastAsia" w:ascii="仿宋_GB2312" w:hAnsi="仿宋_GB2312" w:eastAsia="仿宋_GB2312" w:cs="仿宋_GB2312"/>
                <w:color w:val="auto"/>
                <w:sz w:val="21"/>
                <w:szCs w:val="21"/>
                <w:highlight w:val="none"/>
              </w:rPr>
              <w:t>经明确认定，有独立参编相应章节的，字数每达1万字计1分，最高不超过10分。</w:t>
            </w:r>
            <w:r>
              <w:rPr>
                <w:rFonts w:hint="eastAsia" w:ascii="仿宋_GB2312" w:hAnsi="仿宋_GB2312" w:eastAsia="仿宋_GB2312" w:cs="仿宋_GB2312"/>
                <w:color w:val="auto"/>
                <w:sz w:val="21"/>
                <w:szCs w:val="21"/>
                <w:highlight w:val="none"/>
                <w:lang w:eastAsia="zh-CN"/>
              </w:rPr>
              <w:t>（</w:t>
            </w:r>
            <w:r>
              <w:rPr>
                <w:rFonts w:hint="eastAsia" w:ascii="仿宋_GB2312" w:hAnsi="仿宋_GB2312" w:eastAsia="仿宋_GB2312" w:cs="仿宋_GB2312"/>
                <w:color w:val="auto"/>
                <w:sz w:val="21"/>
                <w:szCs w:val="21"/>
                <w:highlight w:val="none"/>
                <w:lang w:val="en-US" w:eastAsia="zh-CN"/>
              </w:rPr>
              <w:t>著作已在出版社公开出版，且必须有本人署名）</w:t>
            </w:r>
          </w:p>
        </w:tc>
      </w:tr>
      <w:tr w14:paraId="05E43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709" w:hRule="atLeast"/>
          <w:jc w:val="center"/>
        </w:trPr>
        <w:tc>
          <w:tcPr>
            <w:tcW w:w="1540" w:type="dxa"/>
            <w:vMerge w:val="continue"/>
            <w:vAlign w:val="center"/>
          </w:tcPr>
          <w:p w14:paraId="1D870B8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627" w:type="dxa"/>
            <w:vMerge w:val="restart"/>
            <w:vAlign w:val="center"/>
          </w:tcPr>
          <w:p w14:paraId="7298FFC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C3学术报告</w:t>
            </w:r>
          </w:p>
        </w:tc>
        <w:tc>
          <w:tcPr>
            <w:tcW w:w="2279" w:type="dxa"/>
            <w:gridSpan w:val="2"/>
            <w:vAlign w:val="center"/>
          </w:tcPr>
          <w:p w14:paraId="011C956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C31国际会议（境外举办）</w:t>
            </w:r>
          </w:p>
        </w:tc>
        <w:tc>
          <w:tcPr>
            <w:tcW w:w="1133" w:type="dxa"/>
            <w:vAlign w:val="center"/>
          </w:tcPr>
          <w:p w14:paraId="5DBBA65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仿宋_GB2312" w:hAnsi="仿宋_GB2312" w:eastAsia="仿宋_GB2312" w:cs="仿宋_GB2312"/>
                <w:strike/>
                <w:dstrike w:val="0"/>
                <w:color w:val="auto"/>
                <w:sz w:val="21"/>
                <w:szCs w:val="21"/>
                <w:highlight w:val="none"/>
              </w:rPr>
            </w:pPr>
            <w:r>
              <w:rPr>
                <w:rFonts w:hint="eastAsia" w:ascii="仿宋_GB2312" w:hAnsi="仿宋_GB2312" w:eastAsia="仿宋_GB2312" w:cs="仿宋_GB2312"/>
                <w:color w:val="auto"/>
                <w:sz w:val="21"/>
                <w:szCs w:val="21"/>
                <w:highlight w:val="none"/>
              </w:rPr>
              <w:t>1</w:t>
            </w:r>
            <w:r>
              <w:rPr>
                <w:rFonts w:hint="eastAsia" w:ascii="仿宋_GB2312" w:hAnsi="仿宋_GB2312" w:eastAsia="仿宋_GB2312" w:cs="仿宋_GB2312"/>
                <w:color w:val="auto"/>
                <w:sz w:val="21"/>
                <w:szCs w:val="21"/>
                <w:highlight w:val="none"/>
                <w:lang w:val="en-US" w:eastAsia="zh-CN"/>
              </w:rPr>
              <w:t>2</w:t>
            </w:r>
            <w:r>
              <w:rPr>
                <w:rFonts w:hint="eastAsia" w:ascii="仿宋_GB2312" w:hAnsi="仿宋_GB2312" w:eastAsia="仿宋_GB2312" w:cs="仿宋_GB2312"/>
                <w:color w:val="auto"/>
                <w:sz w:val="21"/>
                <w:szCs w:val="21"/>
                <w:highlight w:val="none"/>
              </w:rPr>
              <w:t>~20分</w:t>
            </w:r>
          </w:p>
        </w:tc>
        <w:tc>
          <w:tcPr>
            <w:tcW w:w="7142" w:type="dxa"/>
            <w:vAlign w:val="center"/>
          </w:tcPr>
          <w:p w14:paraId="3D42C6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hint="eastAsia" w:ascii="仿宋_GB2312" w:hAnsi="仿宋_GB2312" w:eastAsia="仿宋_GB2312" w:cs="仿宋_GB2312"/>
                <w:color w:val="auto"/>
                <w:sz w:val="21"/>
                <w:szCs w:val="21"/>
                <w:highlight w:val="none"/>
                <w:lang w:eastAsia="zh-CN"/>
              </w:rPr>
            </w:pPr>
            <w:r>
              <w:rPr>
                <w:rFonts w:hint="eastAsia" w:ascii="仿宋_GB2312" w:hAnsi="仿宋_GB2312" w:eastAsia="仿宋_GB2312" w:cs="仿宋_GB2312"/>
                <w:color w:val="auto"/>
                <w:sz w:val="21"/>
                <w:szCs w:val="21"/>
                <w:highlight w:val="none"/>
              </w:rPr>
              <w:t>C31须参会并作口头报告20分，Poster计1</w:t>
            </w:r>
            <w:r>
              <w:rPr>
                <w:rFonts w:hint="eastAsia" w:ascii="仿宋_GB2312" w:hAnsi="仿宋_GB2312" w:eastAsia="仿宋_GB2312" w:cs="仿宋_GB2312"/>
                <w:color w:val="auto"/>
                <w:sz w:val="21"/>
                <w:szCs w:val="21"/>
                <w:highlight w:val="none"/>
                <w:lang w:val="en-US" w:eastAsia="zh-CN"/>
              </w:rPr>
              <w:t>2</w:t>
            </w:r>
            <w:r>
              <w:rPr>
                <w:rFonts w:hint="eastAsia" w:ascii="仿宋_GB2312" w:hAnsi="仿宋_GB2312" w:eastAsia="仿宋_GB2312" w:cs="仿宋_GB2312"/>
                <w:color w:val="auto"/>
                <w:sz w:val="21"/>
                <w:szCs w:val="21"/>
                <w:highlight w:val="none"/>
              </w:rPr>
              <w:t>分，并附佐证材料。在B3境外交流期间产生的C31分值不重复计算</w:t>
            </w:r>
            <w:r>
              <w:rPr>
                <w:rFonts w:hint="eastAsia" w:ascii="仿宋_GB2312" w:hAnsi="仿宋_GB2312" w:eastAsia="仿宋_GB2312" w:cs="仿宋_GB2312"/>
                <w:color w:val="auto"/>
                <w:sz w:val="21"/>
                <w:szCs w:val="21"/>
                <w:highlight w:val="none"/>
                <w:lang w:eastAsia="zh-CN"/>
              </w:rPr>
              <w:t>；</w:t>
            </w:r>
            <w:r>
              <w:rPr>
                <w:rFonts w:hint="eastAsia" w:ascii="仿宋_GB2312" w:hAnsi="仿宋_GB2312" w:eastAsia="仿宋_GB2312" w:cs="仿宋_GB2312"/>
                <w:color w:val="auto"/>
                <w:sz w:val="21"/>
                <w:szCs w:val="21"/>
                <w:highlight w:val="none"/>
                <w:lang w:val="en-US" w:eastAsia="zh-CN"/>
              </w:rPr>
              <w:t>线上参会按50%计分。</w:t>
            </w:r>
          </w:p>
        </w:tc>
        <w:tc>
          <w:tcPr>
            <w:tcW w:w="1241" w:type="dxa"/>
            <w:gridSpan w:val="2"/>
            <w:vMerge w:val="restart"/>
            <w:vAlign w:val="center"/>
          </w:tcPr>
          <w:p w14:paraId="16825A6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须作会议报告，并附佐证材料（汇报名单、照片）。学年内仅计1次。</w:t>
            </w:r>
          </w:p>
        </w:tc>
      </w:tr>
      <w:tr w14:paraId="7F911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540" w:type="dxa"/>
            <w:vMerge w:val="continue"/>
            <w:vAlign w:val="center"/>
          </w:tcPr>
          <w:p w14:paraId="4B4B185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627" w:type="dxa"/>
            <w:vMerge w:val="continue"/>
            <w:vAlign w:val="center"/>
          </w:tcPr>
          <w:p w14:paraId="3F0C661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2279" w:type="dxa"/>
            <w:gridSpan w:val="2"/>
            <w:vAlign w:val="center"/>
          </w:tcPr>
          <w:p w14:paraId="206887C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C32国内会议</w:t>
            </w:r>
          </w:p>
        </w:tc>
        <w:tc>
          <w:tcPr>
            <w:tcW w:w="1133" w:type="dxa"/>
            <w:vAlign w:val="center"/>
          </w:tcPr>
          <w:p w14:paraId="5C41487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val="en-US" w:eastAsia="zh-CN"/>
              </w:rPr>
              <w:t>6</w:t>
            </w:r>
            <w:r>
              <w:rPr>
                <w:rFonts w:hint="eastAsia" w:ascii="仿宋_GB2312" w:hAnsi="仿宋_GB2312" w:eastAsia="仿宋_GB2312" w:cs="仿宋_GB2312"/>
                <w:color w:val="auto"/>
                <w:sz w:val="21"/>
                <w:szCs w:val="21"/>
                <w:highlight w:val="none"/>
              </w:rPr>
              <w:t>分</w:t>
            </w:r>
          </w:p>
        </w:tc>
        <w:tc>
          <w:tcPr>
            <w:tcW w:w="7142" w:type="dxa"/>
            <w:vAlign w:val="center"/>
          </w:tcPr>
          <w:p w14:paraId="0B1129B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C32须参会并作大会报告或分会场主旨报告，并附佐证材料。</w:t>
            </w:r>
          </w:p>
        </w:tc>
        <w:tc>
          <w:tcPr>
            <w:tcW w:w="1241" w:type="dxa"/>
            <w:gridSpan w:val="2"/>
            <w:vMerge w:val="continue"/>
            <w:vAlign w:val="center"/>
          </w:tcPr>
          <w:p w14:paraId="0A0241E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p>
        </w:tc>
      </w:tr>
      <w:tr w14:paraId="75843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540" w:type="dxa"/>
            <w:vMerge w:val="continue"/>
            <w:vAlign w:val="center"/>
          </w:tcPr>
          <w:p w14:paraId="085A23E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627" w:type="dxa"/>
            <w:vMerge w:val="continue"/>
            <w:vAlign w:val="center"/>
          </w:tcPr>
          <w:p w14:paraId="5DC39BF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2279" w:type="dxa"/>
            <w:gridSpan w:val="2"/>
            <w:shd w:val="clear" w:color="auto" w:fill="FFFFFF" w:themeFill="background1"/>
            <w:vAlign w:val="center"/>
          </w:tcPr>
          <w:p w14:paraId="3E7C54A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C33省级学术论坛</w:t>
            </w:r>
          </w:p>
        </w:tc>
        <w:tc>
          <w:tcPr>
            <w:tcW w:w="1133" w:type="dxa"/>
            <w:shd w:val="clear" w:color="auto" w:fill="FFFFFF" w:themeFill="background1"/>
            <w:vAlign w:val="center"/>
          </w:tcPr>
          <w:p w14:paraId="46AB57C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3分</w:t>
            </w:r>
          </w:p>
        </w:tc>
        <w:tc>
          <w:tcPr>
            <w:tcW w:w="7142" w:type="dxa"/>
            <w:vAlign w:val="center"/>
          </w:tcPr>
          <w:p w14:paraId="180EE4C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C33长三角论坛、华东地区论坛、江苏省研究生论坛等属于省级学术论坛。</w:t>
            </w:r>
          </w:p>
        </w:tc>
        <w:tc>
          <w:tcPr>
            <w:tcW w:w="1241" w:type="dxa"/>
            <w:gridSpan w:val="2"/>
            <w:vMerge w:val="continue"/>
            <w:vAlign w:val="center"/>
          </w:tcPr>
          <w:p w14:paraId="7417468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p>
        </w:tc>
      </w:tr>
      <w:tr w14:paraId="54202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540" w:type="dxa"/>
            <w:vMerge w:val="continue"/>
            <w:vAlign w:val="center"/>
          </w:tcPr>
          <w:p w14:paraId="22E4981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627" w:type="dxa"/>
            <w:vMerge w:val="continue"/>
            <w:vAlign w:val="center"/>
          </w:tcPr>
          <w:p w14:paraId="56434DD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2279" w:type="dxa"/>
            <w:gridSpan w:val="2"/>
            <w:vAlign w:val="center"/>
          </w:tcPr>
          <w:p w14:paraId="0BBCD4E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C34校级学术论坛</w:t>
            </w:r>
          </w:p>
        </w:tc>
        <w:tc>
          <w:tcPr>
            <w:tcW w:w="1133" w:type="dxa"/>
            <w:vAlign w:val="center"/>
          </w:tcPr>
          <w:p w14:paraId="24DEA55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2分</w:t>
            </w:r>
          </w:p>
        </w:tc>
        <w:tc>
          <w:tcPr>
            <w:tcW w:w="7142" w:type="dxa"/>
            <w:vAlign w:val="center"/>
          </w:tcPr>
          <w:p w14:paraId="2AC060A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C34学校举办、跨学院举办的学术论坛都属于校级学术论坛。</w:t>
            </w:r>
          </w:p>
        </w:tc>
        <w:tc>
          <w:tcPr>
            <w:tcW w:w="1241" w:type="dxa"/>
            <w:gridSpan w:val="2"/>
            <w:vMerge w:val="continue"/>
            <w:vAlign w:val="center"/>
          </w:tcPr>
          <w:p w14:paraId="4D0394B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p>
        </w:tc>
      </w:tr>
      <w:tr w14:paraId="1FE90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540" w:type="dxa"/>
            <w:vMerge w:val="continue"/>
            <w:vAlign w:val="center"/>
          </w:tcPr>
          <w:p w14:paraId="35DB710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627" w:type="dxa"/>
            <w:vMerge w:val="continue"/>
            <w:vAlign w:val="center"/>
          </w:tcPr>
          <w:p w14:paraId="45E0EDC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2279" w:type="dxa"/>
            <w:gridSpan w:val="2"/>
            <w:vAlign w:val="center"/>
          </w:tcPr>
          <w:p w14:paraId="5B32FC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sz w:val="21"/>
                <w:szCs w:val="21"/>
                <w:highlight w:val="none"/>
              </w:rPr>
              <w:t>C35院级学术论坛</w:t>
            </w:r>
          </w:p>
        </w:tc>
        <w:tc>
          <w:tcPr>
            <w:tcW w:w="1133" w:type="dxa"/>
            <w:vAlign w:val="center"/>
          </w:tcPr>
          <w:p w14:paraId="1B7F3D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firstLine="210" w:firstLineChars="10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1~2分</w:t>
            </w:r>
          </w:p>
        </w:tc>
        <w:tc>
          <w:tcPr>
            <w:tcW w:w="7142" w:type="dxa"/>
            <w:vAlign w:val="center"/>
          </w:tcPr>
          <w:p w14:paraId="3E43FD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C35学院制定标准。</w:t>
            </w:r>
          </w:p>
        </w:tc>
        <w:tc>
          <w:tcPr>
            <w:tcW w:w="1241" w:type="dxa"/>
            <w:gridSpan w:val="2"/>
            <w:vMerge w:val="continue"/>
            <w:vAlign w:val="center"/>
          </w:tcPr>
          <w:p w14:paraId="444CA36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p>
        </w:tc>
      </w:tr>
      <w:tr w14:paraId="55A3F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540" w:type="dxa"/>
            <w:vMerge w:val="continue"/>
            <w:vAlign w:val="center"/>
          </w:tcPr>
          <w:p w14:paraId="197F3FA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627" w:type="dxa"/>
            <w:vMerge w:val="restart"/>
            <w:vAlign w:val="center"/>
          </w:tcPr>
          <w:p w14:paraId="4861053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C4知识产权</w:t>
            </w:r>
          </w:p>
        </w:tc>
        <w:tc>
          <w:tcPr>
            <w:tcW w:w="2279" w:type="dxa"/>
            <w:gridSpan w:val="2"/>
            <w:vAlign w:val="center"/>
          </w:tcPr>
          <w:p w14:paraId="17D5A54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val="en-US" w:eastAsia="zh-CN"/>
              </w:rPr>
              <w:t>C41</w:t>
            </w:r>
            <w:r>
              <w:rPr>
                <w:rFonts w:hint="eastAsia" w:ascii="仿宋_GB2312" w:hAnsi="仿宋_GB2312" w:eastAsia="仿宋_GB2312" w:cs="仿宋_GB2312"/>
                <w:color w:val="auto"/>
                <w:sz w:val="21"/>
                <w:szCs w:val="21"/>
                <w:highlight w:val="none"/>
              </w:rPr>
              <w:t>外国发明专利授权</w:t>
            </w:r>
          </w:p>
        </w:tc>
        <w:tc>
          <w:tcPr>
            <w:tcW w:w="1133" w:type="dxa"/>
            <w:vAlign w:val="center"/>
          </w:tcPr>
          <w:p w14:paraId="4E2F47C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50分/项</w:t>
            </w:r>
          </w:p>
        </w:tc>
        <w:tc>
          <w:tcPr>
            <w:tcW w:w="8383" w:type="dxa"/>
            <w:gridSpan w:val="3"/>
            <w:vMerge w:val="restart"/>
            <w:vAlign w:val="center"/>
          </w:tcPr>
          <w:p w14:paraId="16C721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C41~C4</w:t>
            </w:r>
            <w:r>
              <w:rPr>
                <w:rFonts w:hint="eastAsia" w:ascii="仿宋_GB2312" w:hAnsi="仿宋_GB2312" w:eastAsia="仿宋_GB2312" w:cs="仿宋_GB2312"/>
                <w:color w:val="auto"/>
                <w:sz w:val="21"/>
                <w:szCs w:val="21"/>
                <w:highlight w:val="none"/>
                <w:lang w:val="en-US" w:eastAsia="zh-CN"/>
              </w:rPr>
              <w:t>6</w:t>
            </w:r>
            <w:r>
              <w:rPr>
                <w:rFonts w:hint="eastAsia" w:ascii="仿宋_GB2312" w:hAnsi="仿宋_GB2312" w:eastAsia="仿宋_GB2312" w:cs="仿宋_GB2312"/>
                <w:color w:val="auto"/>
                <w:sz w:val="21"/>
                <w:szCs w:val="21"/>
                <w:highlight w:val="none"/>
              </w:rPr>
              <w:t>须以常州大学为第一申请单位，本人排名第一，或导师排名第一本人排名第二，对于软件著作权其申报联系人须为学生，并附佐证材料；C41、</w:t>
            </w:r>
            <w:r>
              <w:rPr>
                <w:rFonts w:hint="eastAsia" w:ascii="仿宋_GB2312" w:hAnsi="仿宋_GB2312" w:eastAsia="仿宋_GB2312" w:cs="仿宋_GB2312"/>
                <w:color w:val="auto"/>
                <w:sz w:val="21"/>
                <w:szCs w:val="21"/>
                <w:highlight w:val="none"/>
                <w:lang w:val="en-US" w:eastAsia="zh-CN"/>
              </w:rPr>
              <w:t>C42、</w:t>
            </w:r>
            <w:r>
              <w:rPr>
                <w:rFonts w:hint="eastAsia" w:ascii="仿宋_GB2312" w:hAnsi="仿宋_GB2312" w:eastAsia="仿宋_GB2312" w:cs="仿宋_GB2312"/>
                <w:color w:val="auto"/>
                <w:sz w:val="21"/>
                <w:szCs w:val="21"/>
                <w:highlight w:val="none"/>
              </w:rPr>
              <w:t>C4</w:t>
            </w:r>
            <w:r>
              <w:rPr>
                <w:rFonts w:hint="eastAsia" w:ascii="仿宋_GB2312" w:hAnsi="仿宋_GB2312" w:eastAsia="仿宋_GB2312" w:cs="仿宋_GB2312"/>
                <w:color w:val="auto"/>
                <w:sz w:val="21"/>
                <w:szCs w:val="21"/>
                <w:highlight w:val="none"/>
                <w:lang w:val="en-US" w:eastAsia="zh-CN"/>
              </w:rPr>
              <w:t>5</w:t>
            </w:r>
            <w:r>
              <w:rPr>
                <w:rFonts w:hint="eastAsia" w:ascii="仿宋_GB2312" w:hAnsi="仿宋_GB2312" w:eastAsia="仿宋_GB2312" w:cs="仿宋_GB2312"/>
                <w:color w:val="auto"/>
                <w:sz w:val="21"/>
                <w:szCs w:val="21"/>
                <w:highlight w:val="none"/>
              </w:rPr>
              <w:t>需提供专利授权证书，C4</w:t>
            </w:r>
            <w:r>
              <w:rPr>
                <w:rFonts w:hint="eastAsia" w:ascii="仿宋_GB2312" w:hAnsi="仿宋_GB2312" w:eastAsia="仿宋_GB2312" w:cs="仿宋_GB2312"/>
                <w:color w:val="auto"/>
                <w:sz w:val="21"/>
                <w:szCs w:val="21"/>
                <w:highlight w:val="none"/>
                <w:lang w:val="en-US" w:eastAsia="zh-CN"/>
              </w:rPr>
              <w:t>3、C44</w:t>
            </w:r>
            <w:r>
              <w:rPr>
                <w:rFonts w:hint="eastAsia" w:ascii="仿宋_GB2312" w:hAnsi="仿宋_GB2312" w:eastAsia="仿宋_GB2312" w:cs="仿宋_GB2312"/>
                <w:color w:val="auto"/>
                <w:sz w:val="21"/>
                <w:szCs w:val="21"/>
                <w:highlight w:val="none"/>
              </w:rPr>
              <w:t>需有申请公布号；C41、C42、C43、C44</w:t>
            </w:r>
            <w:r>
              <w:rPr>
                <w:rFonts w:hint="eastAsia" w:ascii="仿宋_GB2312" w:hAnsi="仿宋_GB2312" w:eastAsia="仿宋_GB2312" w:cs="仿宋_GB2312"/>
                <w:color w:val="auto"/>
                <w:sz w:val="21"/>
                <w:szCs w:val="21"/>
                <w:highlight w:val="none"/>
                <w:lang w:eastAsia="zh-CN"/>
              </w:rPr>
              <w:t>、</w:t>
            </w:r>
            <w:r>
              <w:rPr>
                <w:rFonts w:hint="eastAsia" w:ascii="仿宋_GB2312" w:hAnsi="仿宋_GB2312" w:eastAsia="仿宋_GB2312" w:cs="仿宋_GB2312"/>
                <w:color w:val="auto"/>
                <w:sz w:val="21"/>
                <w:szCs w:val="21"/>
                <w:highlight w:val="none"/>
                <w:lang w:val="en-US" w:eastAsia="zh-CN"/>
              </w:rPr>
              <w:t>C45、C46</w:t>
            </w:r>
            <w:r>
              <w:rPr>
                <w:rFonts w:hint="eastAsia" w:ascii="仿宋_GB2312" w:hAnsi="仿宋_GB2312" w:eastAsia="仿宋_GB2312" w:cs="仿宋_GB2312"/>
                <w:color w:val="auto"/>
                <w:sz w:val="21"/>
                <w:szCs w:val="21"/>
                <w:highlight w:val="none"/>
              </w:rPr>
              <w:t>为同一项目的以最高分计；C4</w:t>
            </w:r>
            <w:r>
              <w:rPr>
                <w:rFonts w:hint="eastAsia" w:ascii="仿宋_GB2312" w:hAnsi="仿宋_GB2312" w:eastAsia="仿宋_GB2312" w:cs="仿宋_GB2312"/>
                <w:color w:val="auto"/>
                <w:sz w:val="21"/>
                <w:szCs w:val="21"/>
                <w:highlight w:val="none"/>
                <w:lang w:val="en-US" w:eastAsia="zh-CN"/>
              </w:rPr>
              <w:t>3</w:t>
            </w:r>
            <w:r>
              <w:rPr>
                <w:rFonts w:hint="eastAsia" w:ascii="仿宋_GB2312" w:hAnsi="仿宋_GB2312" w:eastAsia="仿宋_GB2312" w:cs="仿宋_GB2312"/>
                <w:color w:val="auto"/>
                <w:sz w:val="21"/>
                <w:szCs w:val="21"/>
                <w:highlight w:val="none"/>
              </w:rPr>
              <w:t>、C44</w:t>
            </w:r>
            <w:r>
              <w:rPr>
                <w:rFonts w:hint="eastAsia" w:ascii="仿宋_GB2312" w:hAnsi="仿宋_GB2312" w:eastAsia="仿宋_GB2312" w:cs="仿宋_GB2312"/>
                <w:color w:val="auto"/>
                <w:sz w:val="21"/>
                <w:szCs w:val="21"/>
                <w:highlight w:val="none"/>
                <w:lang w:eastAsia="zh-CN"/>
              </w:rPr>
              <w:t>、</w:t>
            </w:r>
            <w:r>
              <w:rPr>
                <w:rFonts w:hint="eastAsia" w:ascii="仿宋_GB2312" w:hAnsi="仿宋_GB2312" w:eastAsia="仿宋_GB2312" w:cs="仿宋_GB2312"/>
                <w:color w:val="auto"/>
                <w:sz w:val="21"/>
                <w:szCs w:val="21"/>
                <w:highlight w:val="none"/>
                <w:lang w:val="en-US" w:eastAsia="zh-CN"/>
              </w:rPr>
              <w:t>C46</w:t>
            </w:r>
            <w:r>
              <w:rPr>
                <w:rFonts w:hint="eastAsia" w:ascii="仿宋_GB2312" w:hAnsi="仿宋_GB2312" w:eastAsia="仿宋_GB2312" w:cs="仿宋_GB2312"/>
                <w:color w:val="auto"/>
                <w:sz w:val="21"/>
                <w:szCs w:val="21"/>
                <w:highlight w:val="none"/>
              </w:rPr>
              <w:t>学年内最多分别计3项、C4</w:t>
            </w:r>
            <w:r>
              <w:rPr>
                <w:rFonts w:hint="eastAsia" w:ascii="仿宋_GB2312" w:hAnsi="仿宋_GB2312" w:eastAsia="仿宋_GB2312" w:cs="仿宋_GB2312"/>
                <w:color w:val="auto"/>
                <w:sz w:val="21"/>
                <w:szCs w:val="21"/>
                <w:highlight w:val="none"/>
                <w:lang w:val="en-US" w:eastAsia="zh-CN"/>
              </w:rPr>
              <w:t>5</w:t>
            </w:r>
            <w:r>
              <w:rPr>
                <w:rFonts w:hint="eastAsia" w:ascii="仿宋_GB2312" w:hAnsi="仿宋_GB2312" w:eastAsia="仿宋_GB2312" w:cs="仿宋_GB2312"/>
                <w:color w:val="auto"/>
                <w:sz w:val="21"/>
                <w:szCs w:val="21"/>
                <w:highlight w:val="none"/>
              </w:rPr>
              <w:t>学年内最多计4项。（专利申请必须是研究生入学以</w:t>
            </w:r>
            <w:r>
              <w:rPr>
                <w:rFonts w:hint="eastAsia" w:ascii="仿宋_GB2312" w:hAnsi="仿宋_GB2312" w:eastAsia="仿宋_GB2312" w:cs="仿宋_GB2312"/>
                <w:color w:val="auto"/>
                <w:sz w:val="21"/>
                <w:szCs w:val="21"/>
                <w:highlight w:val="none"/>
                <w:lang w:val="en-US" w:eastAsia="zh-CN"/>
              </w:rPr>
              <w:t>后申请</w:t>
            </w:r>
            <w:r>
              <w:rPr>
                <w:rFonts w:hint="eastAsia" w:ascii="仿宋_GB2312" w:hAnsi="仿宋_GB2312" w:eastAsia="仿宋_GB2312" w:cs="仿宋_GB2312"/>
                <w:color w:val="auto"/>
                <w:sz w:val="21"/>
                <w:szCs w:val="21"/>
                <w:highlight w:val="none"/>
              </w:rPr>
              <w:t>的成果）</w:t>
            </w:r>
          </w:p>
        </w:tc>
      </w:tr>
      <w:tr w14:paraId="05D7B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540" w:type="dxa"/>
            <w:vMerge w:val="continue"/>
            <w:vAlign w:val="center"/>
          </w:tcPr>
          <w:p w14:paraId="4248397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627" w:type="dxa"/>
            <w:vMerge w:val="continue"/>
            <w:vAlign w:val="center"/>
          </w:tcPr>
          <w:p w14:paraId="774DB02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2279" w:type="dxa"/>
            <w:gridSpan w:val="2"/>
            <w:vAlign w:val="center"/>
          </w:tcPr>
          <w:p w14:paraId="54CF1F3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C4</w:t>
            </w:r>
            <w:r>
              <w:rPr>
                <w:rFonts w:hint="eastAsia" w:ascii="仿宋_GB2312" w:hAnsi="仿宋_GB2312" w:eastAsia="仿宋_GB2312" w:cs="仿宋_GB2312"/>
                <w:color w:val="auto"/>
                <w:sz w:val="21"/>
                <w:szCs w:val="21"/>
                <w:highlight w:val="none"/>
                <w:lang w:val="en-US" w:eastAsia="zh-CN"/>
              </w:rPr>
              <w:t>2国家</w:t>
            </w:r>
            <w:r>
              <w:rPr>
                <w:rFonts w:hint="eastAsia" w:ascii="仿宋_GB2312" w:hAnsi="仿宋_GB2312" w:eastAsia="仿宋_GB2312" w:cs="仿宋_GB2312"/>
                <w:color w:val="auto"/>
                <w:sz w:val="21"/>
                <w:szCs w:val="21"/>
                <w:highlight w:val="none"/>
              </w:rPr>
              <w:t>发明专利授权</w:t>
            </w:r>
          </w:p>
        </w:tc>
        <w:tc>
          <w:tcPr>
            <w:tcW w:w="1133" w:type="dxa"/>
            <w:vAlign w:val="center"/>
          </w:tcPr>
          <w:p w14:paraId="7912A32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30分/项</w:t>
            </w:r>
          </w:p>
        </w:tc>
        <w:tc>
          <w:tcPr>
            <w:tcW w:w="8383" w:type="dxa"/>
            <w:gridSpan w:val="3"/>
            <w:vMerge w:val="continue"/>
            <w:vAlign w:val="center"/>
          </w:tcPr>
          <w:p w14:paraId="16164CE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p>
        </w:tc>
      </w:tr>
      <w:tr w14:paraId="06206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0" w:type="dxa"/>
            <w:vMerge w:val="continue"/>
            <w:vAlign w:val="center"/>
          </w:tcPr>
          <w:p w14:paraId="728EED5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627" w:type="dxa"/>
            <w:vMerge w:val="continue"/>
            <w:vAlign w:val="center"/>
          </w:tcPr>
          <w:p w14:paraId="6D54974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2279" w:type="dxa"/>
            <w:gridSpan w:val="2"/>
            <w:vAlign w:val="center"/>
          </w:tcPr>
          <w:p w14:paraId="6929B5B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rPr>
              <w:t>C4</w:t>
            </w:r>
            <w:r>
              <w:rPr>
                <w:rFonts w:hint="eastAsia" w:ascii="仿宋_GB2312" w:hAnsi="仿宋_GB2312" w:eastAsia="仿宋_GB2312" w:cs="仿宋_GB2312"/>
                <w:color w:val="auto"/>
                <w:sz w:val="21"/>
                <w:szCs w:val="21"/>
                <w:highlight w:val="none"/>
                <w:lang w:val="en-US" w:eastAsia="zh-CN"/>
              </w:rPr>
              <w:t>3外国发明</w:t>
            </w:r>
            <w:r>
              <w:rPr>
                <w:rFonts w:hint="eastAsia" w:ascii="仿宋_GB2312" w:hAnsi="仿宋_GB2312" w:eastAsia="仿宋_GB2312" w:cs="仿宋_GB2312"/>
                <w:color w:val="auto"/>
                <w:sz w:val="21"/>
                <w:szCs w:val="21"/>
                <w:highlight w:val="none"/>
              </w:rPr>
              <w:t>专利申请</w:t>
            </w:r>
            <w:r>
              <w:rPr>
                <w:rFonts w:hint="eastAsia" w:ascii="仿宋_GB2312" w:hAnsi="仿宋_GB2312" w:eastAsia="仿宋_GB2312" w:cs="仿宋_GB2312"/>
                <w:color w:val="auto"/>
                <w:sz w:val="21"/>
                <w:szCs w:val="21"/>
                <w:highlight w:val="none"/>
                <w:lang w:val="en-US" w:eastAsia="zh-CN"/>
              </w:rPr>
              <w:t>公开</w:t>
            </w:r>
          </w:p>
        </w:tc>
        <w:tc>
          <w:tcPr>
            <w:tcW w:w="1133" w:type="dxa"/>
            <w:vAlign w:val="center"/>
          </w:tcPr>
          <w:p w14:paraId="17D9335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val="en-US" w:eastAsia="zh-CN"/>
              </w:rPr>
              <w:t>5</w:t>
            </w:r>
            <w:r>
              <w:rPr>
                <w:rFonts w:hint="eastAsia" w:ascii="仿宋_GB2312" w:hAnsi="仿宋_GB2312" w:eastAsia="仿宋_GB2312" w:cs="仿宋_GB2312"/>
                <w:color w:val="auto"/>
                <w:sz w:val="21"/>
                <w:szCs w:val="21"/>
                <w:highlight w:val="none"/>
              </w:rPr>
              <w:t>分/项</w:t>
            </w:r>
          </w:p>
        </w:tc>
        <w:tc>
          <w:tcPr>
            <w:tcW w:w="8383" w:type="dxa"/>
            <w:gridSpan w:val="3"/>
            <w:vMerge w:val="continue"/>
            <w:vAlign w:val="center"/>
          </w:tcPr>
          <w:p w14:paraId="76523B5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p>
        </w:tc>
      </w:tr>
      <w:tr w14:paraId="716D3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540" w:type="dxa"/>
            <w:vMerge w:val="continue"/>
            <w:vAlign w:val="center"/>
          </w:tcPr>
          <w:p w14:paraId="42B6703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627" w:type="dxa"/>
            <w:vMerge w:val="continue"/>
            <w:vAlign w:val="center"/>
          </w:tcPr>
          <w:p w14:paraId="39AD44C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2279" w:type="dxa"/>
            <w:gridSpan w:val="2"/>
            <w:vAlign w:val="center"/>
          </w:tcPr>
          <w:p w14:paraId="61F6DDB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C4</w:t>
            </w:r>
            <w:r>
              <w:rPr>
                <w:rFonts w:hint="eastAsia" w:ascii="仿宋_GB2312" w:hAnsi="仿宋_GB2312" w:eastAsia="仿宋_GB2312" w:cs="仿宋_GB2312"/>
                <w:color w:val="auto"/>
                <w:sz w:val="21"/>
                <w:szCs w:val="21"/>
                <w:highlight w:val="none"/>
                <w:lang w:val="en-US" w:eastAsia="zh-CN"/>
              </w:rPr>
              <w:t>4国家发明</w:t>
            </w:r>
            <w:r>
              <w:rPr>
                <w:rFonts w:hint="eastAsia" w:ascii="仿宋_GB2312" w:hAnsi="仿宋_GB2312" w:eastAsia="仿宋_GB2312" w:cs="仿宋_GB2312"/>
                <w:color w:val="auto"/>
                <w:sz w:val="21"/>
                <w:szCs w:val="21"/>
                <w:highlight w:val="none"/>
              </w:rPr>
              <w:t>专利申请</w:t>
            </w:r>
            <w:r>
              <w:rPr>
                <w:rFonts w:hint="eastAsia" w:ascii="仿宋_GB2312" w:hAnsi="仿宋_GB2312" w:eastAsia="仿宋_GB2312" w:cs="仿宋_GB2312"/>
                <w:color w:val="auto"/>
                <w:sz w:val="21"/>
                <w:szCs w:val="21"/>
                <w:highlight w:val="none"/>
                <w:lang w:val="en-US" w:eastAsia="zh-CN"/>
              </w:rPr>
              <w:t>公开</w:t>
            </w:r>
          </w:p>
        </w:tc>
        <w:tc>
          <w:tcPr>
            <w:tcW w:w="1133" w:type="dxa"/>
            <w:vAlign w:val="center"/>
          </w:tcPr>
          <w:p w14:paraId="6542575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3分/项</w:t>
            </w:r>
          </w:p>
        </w:tc>
        <w:tc>
          <w:tcPr>
            <w:tcW w:w="8383" w:type="dxa"/>
            <w:gridSpan w:val="3"/>
            <w:vMerge w:val="continue"/>
            <w:vAlign w:val="center"/>
          </w:tcPr>
          <w:p w14:paraId="33C1420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p>
        </w:tc>
      </w:tr>
      <w:tr w14:paraId="69EE0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540" w:type="dxa"/>
            <w:vMerge w:val="continue"/>
            <w:vAlign w:val="center"/>
          </w:tcPr>
          <w:p w14:paraId="42B09E9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627" w:type="dxa"/>
            <w:vMerge w:val="continue"/>
            <w:vAlign w:val="center"/>
          </w:tcPr>
          <w:p w14:paraId="3999C8C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2279" w:type="dxa"/>
            <w:gridSpan w:val="2"/>
            <w:vAlign w:val="center"/>
          </w:tcPr>
          <w:p w14:paraId="4A3BC3D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C4</w:t>
            </w:r>
            <w:r>
              <w:rPr>
                <w:rFonts w:hint="eastAsia" w:ascii="仿宋_GB2312" w:hAnsi="仿宋_GB2312" w:eastAsia="仿宋_GB2312" w:cs="仿宋_GB2312"/>
                <w:color w:val="auto"/>
                <w:sz w:val="21"/>
                <w:szCs w:val="21"/>
                <w:highlight w:val="none"/>
                <w:lang w:val="en-US" w:eastAsia="zh-CN"/>
              </w:rPr>
              <w:t>5国内</w:t>
            </w:r>
            <w:r>
              <w:rPr>
                <w:rFonts w:hint="eastAsia" w:ascii="仿宋_GB2312" w:hAnsi="仿宋_GB2312" w:eastAsia="仿宋_GB2312" w:cs="仿宋_GB2312"/>
                <w:color w:val="auto"/>
                <w:sz w:val="21"/>
                <w:szCs w:val="21"/>
                <w:highlight w:val="none"/>
              </w:rPr>
              <w:t>实用新型专利授权</w:t>
            </w:r>
          </w:p>
        </w:tc>
        <w:tc>
          <w:tcPr>
            <w:tcW w:w="1133" w:type="dxa"/>
            <w:vAlign w:val="center"/>
          </w:tcPr>
          <w:p w14:paraId="3C7DECB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5分/项</w:t>
            </w:r>
          </w:p>
        </w:tc>
        <w:tc>
          <w:tcPr>
            <w:tcW w:w="8383" w:type="dxa"/>
            <w:gridSpan w:val="3"/>
            <w:vMerge w:val="continue"/>
            <w:vAlign w:val="center"/>
          </w:tcPr>
          <w:p w14:paraId="5BB133C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p>
        </w:tc>
      </w:tr>
      <w:tr w14:paraId="35274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540" w:type="dxa"/>
            <w:vMerge w:val="continue"/>
            <w:vAlign w:val="center"/>
          </w:tcPr>
          <w:p w14:paraId="0BBB059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627" w:type="dxa"/>
            <w:vMerge w:val="continue"/>
            <w:vAlign w:val="center"/>
          </w:tcPr>
          <w:p w14:paraId="7C9C28C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2279" w:type="dxa"/>
            <w:gridSpan w:val="2"/>
            <w:vAlign w:val="center"/>
          </w:tcPr>
          <w:p w14:paraId="3CB3430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C4</w:t>
            </w:r>
            <w:r>
              <w:rPr>
                <w:rFonts w:hint="eastAsia" w:ascii="仿宋_GB2312" w:hAnsi="仿宋_GB2312" w:eastAsia="仿宋_GB2312" w:cs="仿宋_GB2312"/>
                <w:color w:val="auto"/>
                <w:sz w:val="21"/>
                <w:szCs w:val="21"/>
                <w:highlight w:val="none"/>
                <w:lang w:val="en-US" w:eastAsia="zh-CN"/>
              </w:rPr>
              <w:t>6</w:t>
            </w:r>
            <w:r>
              <w:rPr>
                <w:rFonts w:hint="eastAsia" w:ascii="仿宋_GB2312" w:hAnsi="仿宋_GB2312" w:eastAsia="仿宋_GB2312" w:cs="仿宋_GB2312"/>
                <w:color w:val="auto"/>
                <w:sz w:val="21"/>
                <w:szCs w:val="21"/>
                <w:highlight w:val="none"/>
              </w:rPr>
              <w:t>软件著作权</w:t>
            </w:r>
          </w:p>
        </w:tc>
        <w:tc>
          <w:tcPr>
            <w:tcW w:w="1133" w:type="dxa"/>
            <w:vAlign w:val="center"/>
          </w:tcPr>
          <w:p w14:paraId="1D86318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5分/项</w:t>
            </w:r>
          </w:p>
        </w:tc>
        <w:tc>
          <w:tcPr>
            <w:tcW w:w="8383" w:type="dxa"/>
            <w:gridSpan w:val="3"/>
            <w:vMerge w:val="continue"/>
            <w:vAlign w:val="center"/>
          </w:tcPr>
          <w:p w14:paraId="11F787A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p>
        </w:tc>
      </w:tr>
      <w:tr w14:paraId="214FF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540" w:type="dxa"/>
            <w:vMerge w:val="continue"/>
            <w:vAlign w:val="center"/>
          </w:tcPr>
          <w:p w14:paraId="4E2DC9D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627" w:type="dxa"/>
            <w:vMerge w:val="restart"/>
            <w:vAlign w:val="center"/>
          </w:tcPr>
          <w:p w14:paraId="724D46A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C5成果转让</w:t>
            </w:r>
          </w:p>
        </w:tc>
        <w:tc>
          <w:tcPr>
            <w:tcW w:w="2279" w:type="dxa"/>
            <w:gridSpan w:val="2"/>
            <w:vAlign w:val="center"/>
          </w:tcPr>
          <w:p w14:paraId="5525214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C51   E＜5万</w:t>
            </w:r>
          </w:p>
        </w:tc>
        <w:tc>
          <w:tcPr>
            <w:tcW w:w="1133" w:type="dxa"/>
            <w:vAlign w:val="center"/>
          </w:tcPr>
          <w:p w14:paraId="6A4C621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val="en-US" w:eastAsia="zh-CN"/>
              </w:rPr>
              <w:t>2</w:t>
            </w:r>
            <w:r>
              <w:rPr>
                <w:rFonts w:hint="eastAsia" w:ascii="仿宋_GB2312" w:hAnsi="仿宋_GB2312" w:eastAsia="仿宋_GB2312" w:cs="仿宋_GB2312"/>
                <w:color w:val="auto"/>
                <w:sz w:val="21"/>
                <w:szCs w:val="21"/>
                <w:highlight w:val="none"/>
              </w:rPr>
              <w:t>0分/项</w:t>
            </w:r>
          </w:p>
        </w:tc>
        <w:tc>
          <w:tcPr>
            <w:tcW w:w="8383" w:type="dxa"/>
            <w:gridSpan w:val="3"/>
            <w:vMerge w:val="restart"/>
            <w:vAlign w:val="center"/>
          </w:tcPr>
          <w:p w14:paraId="628AED2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C5专利为在研期间取得并转让，E代表转让金额。</w:t>
            </w:r>
          </w:p>
        </w:tc>
      </w:tr>
      <w:tr w14:paraId="3A4E9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540" w:type="dxa"/>
            <w:vMerge w:val="continue"/>
            <w:vAlign w:val="center"/>
          </w:tcPr>
          <w:p w14:paraId="6653044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627" w:type="dxa"/>
            <w:vMerge w:val="continue"/>
            <w:vAlign w:val="center"/>
          </w:tcPr>
          <w:p w14:paraId="1EB5A08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2279" w:type="dxa"/>
            <w:gridSpan w:val="2"/>
            <w:vAlign w:val="center"/>
          </w:tcPr>
          <w:p w14:paraId="43C0CFC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C52   5万≤E＜10万</w:t>
            </w:r>
          </w:p>
        </w:tc>
        <w:tc>
          <w:tcPr>
            <w:tcW w:w="1133" w:type="dxa"/>
            <w:vAlign w:val="center"/>
          </w:tcPr>
          <w:p w14:paraId="563C7CB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val="en-US" w:eastAsia="zh-CN"/>
              </w:rPr>
              <w:t>3</w:t>
            </w:r>
            <w:r>
              <w:rPr>
                <w:rFonts w:hint="eastAsia" w:ascii="仿宋_GB2312" w:hAnsi="仿宋_GB2312" w:eastAsia="仿宋_GB2312" w:cs="仿宋_GB2312"/>
                <w:color w:val="auto"/>
                <w:sz w:val="21"/>
                <w:szCs w:val="21"/>
                <w:highlight w:val="none"/>
              </w:rPr>
              <w:t>0分/项</w:t>
            </w:r>
          </w:p>
        </w:tc>
        <w:tc>
          <w:tcPr>
            <w:tcW w:w="8383" w:type="dxa"/>
            <w:gridSpan w:val="3"/>
            <w:vMerge w:val="continue"/>
            <w:vAlign w:val="center"/>
          </w:tcPr>
          <w:p w14:paraId="0684E30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p>
        </w:tc>
      </w:tr>
      <w:tr w14:paraId="53A33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540" w:type="dxa"/>
            <w:vMerge w:val="continue"/>
            <w:vAlign w:val="center"/>
          </w:tcPr>
          <w:p w14:paraId="2292E5D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627" w:type="dxa"/>
            <w:vMerge w:val="continue"/>
            <w:vAlign w:val="center"/>
          </w:tcPr>
          <w:p w14:paraId="42FEB0E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2279" w:type="dxa"/>
            <w:gridSpan w:val="2"/>
            <w:vAlign w:val="center"/>
          </w:tcPr>
          <w:p w14:paraId="6EF73F8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C53  10万≤E＜30万</w:t>
            </w:r>
          </w:p>
        </w:tc>
        <w:tc>
          <w:tcPr>
            <w:tcW w:w="1133" w:type="dxa"/>
            <w:vAlign w:val="center"/>
          </w:tcPr>
          <w:p w14:paraId="2EBEC2C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val="en-US" w:eastAsia="zh-CN"/>
              </w:rPr>
              <w:t>35</w:t>
            </w:r>
            <w:r>
              <w:rPr>
                <w:rFonts w:hint="eastAsia" w:ascii="仿宋_GB2312" w:hAnsi="仿宋_GB2312" w:eastAsia="仿宋_GB2312" w:cs="仿宋_GB2312"/>
                <w:color w:val="auto"/>
                <w:sz w:val="21"/>
                <w:szCs w:val="21"/>
                <w:highlight w:val="none"/>
              </w:rPr>
              <w:t>分/项</w:t>
            </w:r>
          </w:p>
        </w:tc>
        <w:tc>
          <w:tcPr>
            <w:tcW w:w="8383" w:type="dxa"/>
            <w:gridSpan w:val="3"/>
            <w:vMerge w:val="continue"/>
            <w:vAlign w:val="center"/>
          </w:tcPr>
          <w:p w14:paraId="7F6DB66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p>
        </w:tc>
      </w:tr>
      <w:tr w14:paraId="2A2C5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540" w:type="dxa"/>
            <w:vMerge w:val="continue"/>
            <w:vAlign w:val="center"/>
          </w:tcPr>
          <w:p w14:paraId="48DEF6C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627" w:type="dxa"/>
            <w:vMerge w:val="continue"/>
            <w:vAlign w:val="center"/>
          </w:tcPr>
          <w:p w14:paraId="6BA594A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2279" w:type="dxa"/>
            <w:gridSpan w:val="2"/>
            <w:vAlign w:val="center"/>
          </w:tcPr>
          <w:p w14:paraId="3DFF8A9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val="en-US" w:eastAsia="zh-CN"/>
              </w:rPr>
              <w:t>C54  30万≤E＜100万</w:t>
            </w:r>
          </w:p>
        </w:tc>
        <w:tc>
          <w:tcPr>
            <w:tcW w:w="1133" w:type="dxa"/>
            <w:vAlign w:val="center"/>
          </w:tcPr>
          <w:p w14:paraId="52CF3A2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val="en-US" w:eastAsia="zh-CN"/>
              </w:rPr>
              <w:t>4</w:t>
            </w:r>
            <w:r>
              <w:rPr>
                <w:rFonts w:hint="eastAsia" w:ascii="仿宋_GB2312" w:hAnsi="仿宋_GB2312" w:eastAsia="仿宋_GB2312" w:cs="仿宋_GB2312"/>
                <w:color w:val="auto"/>
                <w:sz w:val="21"/>
                <w:szCs w:val="21"/>
                <w:highlight w:val="none"/>
              </w:rPr>
              <w:t>0分/项</w:t>
            </w:r>
          </w:p>
        </w:tc>
        <w:tc>
          <w:tcPr>
            <w:tcW w:w="8383" w:type="dxa"/>
            <w:gridSpan w:val="3"/>
            <w:vMerge w:val="continue"/>
            <w:vAlign w:val="center"/>
          </w:tcPr>
          <w:p w14:paraId="6027FAE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kern w:val="2"/>
                <w:sz w:val="21"/>
                <w:szCs w:val="21"/>
                <w:highlight w:val="none"/>
                <w:lang w:val="en-US" w:eastAsia="zh-CN" w:bidi="ar-SA"/>
              </w:rPr>
            </w:pPr>
          </w:p>
        </w:tc>
      </w:tr>
      <w:tr w14:paraId="206B8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540" w:type="dxa"/>
            <w:vMerge w:val="continue"/>
            <w:vAlign w:val="center"/>
          </w:tcPr>
          <w:p w14:paraId="1DB8858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627" w:type="dxa"/>
            <w:vMerge w:val="continue"/>
            <w:vAlign w:val="center"/>
          </w:tcPr>
          <w:p w14:paraId="3E949B3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2279" w:type="dxa"/>
            <w:gridSpan w:val="2"/>
            <w:vAlign w:val="center"/>
          </w:tcPr>
          <w:p w14:paraId="5498FB1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C55   E≥100万</w:t>
            </w:r>
          </w:p>
        </w:tc>
        <w:tc>
          <w:tcPr>
            <w:tcW w:w="1133" w:type="dxa"/>
            <w:vAlign w:val="center"/>
          </w:tcPr>
          <w:p w14:paraId="5128C7F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50分/项</w:t>
            </w:r>
          </w:p>
        </w:tc>
        <w:tc>
          <w:tcPr>
            <w:tcW w:w="8383" w:type="dxa"/>
            <w:gridSpan w:val="3"/>
            <w:vMerge w:val="continue"/>
            <w:vAlign w:val="center"/>
          </w:tcPr>
          <w:p w14:paraId="317D977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p>
        </w:tc>
      </w:tr>
      <w:tr w14:paraId="5614E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540" w:type="dxa"/>
            <w:vMerge w:val="continue"/>
            <w:vAlign w:val="center"/>
          </w:tcPr>
          <w:p w14:paraId="383B9B5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627" w:type="dxa"/>
            <w:vMerge w:val="restart"/>
            <w:vAlign w:val="center"/>
          </w:tcPr>
          <w:p w14:paraId="50854C8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C6科研项目</w:t>
            </w:r>
          </w:p>
        </w:tc>
        <w:tc>
          <w:tcPr>
            <w:tcW w:w="2279" w:type="dxa"/>
            <w:gridSpan w:val="2"/>
            <w:vAlign w:val="center"/>
          </w:tcPr>
          <w:p w14:paraId="1DAEAE6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C61省立校助</w:t>
            </w:r>
          </w:p>
        </w:tc>
        <w:tc>
          <w:tcPr>
            <w:tcW w:w="1133" w:type="dxa"/>
            <w:vAlign w:val="center"/>
          </w:tcPr>
          <w:p w14:paraId="683DE1E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4分/项</w:t>
            </w:r>
          </w:p>
        </w:tc>
        <w:tc>
          <w:tcPr>
            <w:tcW w:w="8383" w:type="dxa"/>
            <w:gridSpan w:val="3"/>
            <w:vMerge w:val="restart"/>
            <w:vAlign w:val="center"/>
          </w:tcPr>
          <w:p w14:paraId="03A934B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C6研究生本人主持的江苏省科研与实践创新计划项目立项。</w:t>
            </w:r>
          </w:p>
        </w:tc>
      </w:tr>
      <w:tr w14:paraId="44B02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540" w:type="dxa"/>
            <w:vMerge w:val="continue"/>
            <w:vAlign w:val="center"/>
          </w:tcPr>
          <w:p w14:paraId="72F8C3A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627" w:type="dxa"/>
            <w:vMerge w:val="continue"/>
            <w:vAlign w:val="center"/>
          </w:tcPr>
          <w:p w14:paraId="72ED958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2279" w:type="dxa"/>
            <w:gridSpan w:val="2"/>
            <w:vAlign w:val="center"/>
          </w:tcPr>
          <w:p w14:paraId="4885B5C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C62省立院助</w:t>
            </w:r>
          </w:p>
        </w:tc>
        <w:tc>
          <w:tcPr>
            <w:tcW w:w="1133" w:type="dxa"/>
            <w:vAlign w:val="center"/>
          </w:tcPr>
          <w:p w14:paraId="53558A6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val="en-US" w:eastAsia="zh-CN"/>
              </w:rPr>
              <w:t>2</w:t>
            </w:r>
            <w:r>
              <w:rPr>
                <w:rFonts w:hint="eastAsia" w:ascii="仿宋_GB2312" w:hAnsi="仿宋_GB2312" w:eastAsia="仿宋_GB2312" w:cs="仿宋_GB2312"/>
                <w:color w:val="auto"/>
                <w:sz w:val="21"/>
                <w:szCs w:val="21"/>
                <w:highlight w:val="none"/>
              </w:rPr>
              <w:t>分/项</w:t>
            </w:r>
          </w:p>
        </w:tc>
        <w:tc>
          <w:tcPr>
            <w:tcW w:w="8383" w:type="dxa"/>
            <w:gridSpan w:val="3"/>
            <w:vMerge w:val="continue"/>
            <w:vAlign w:val="center"/>
          </w:tcPr>
          <w:p w14:paraId="52EF35C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p>
        </w:tc>
      </w:tr>
      <w:tr w14:paraId="0477B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540" w:type="dxa"/>
            <w:vMerge w:val="continue"/>
            <w:vAlign w:val="center"/>
          </w:tcPr>
          <w:p w14:paraId="1FBDAFB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627" w:type="dxa"/>
            <w:vMerge w:val="restart"/>
            <w:vAlign w:val="center"/>
          </w:tcPr>
          <w:p w14:paraId="09B1B5B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C7科研获奖</w:t>
            </w:r>
          </w:p>
        </w:tc>
        <w:tc>
          <w:tcPr>
            <w:tcW w:w="2279" w:type="dxa"/>
            <w:gridSpan w:val="2"/>
            <w:vAlign w:val="center"/>
          </w:tcPr>
          <w:p w14:paraId="30B57EB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C71国家级</w:t>
            </w:r>
          </w:p>
        </w:tc>
        <w:tc>
          <w:tcPr>
            <w:tcW w:w="1133" w:type="dxa"/>
            <w:vAlign w:val="center"/>
          </w:tcPr>
          <w:p w14:paraId="7967DF9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200分/项</w:t>
            </w:r>
          </w:p>
        </w:tc>
        <w:tc>
          <w:tcPr>
            <w:tcW w:w="8383" w:type="dxa"/>
            <w:gridSpan w:val="3"/>
            <w:vMerge w:val="restart"/>
            <w:vAlign w:val="center"/>
          </w:tcPr>
          <w:p w14:paraId="6251BE4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C71~C73排名前五，且只计</w:t>
            </w:r>
            <w:r>
              <w:rPr>
                <w:rFonts w:hint="eastAsia" w:ascii="仿宋_GB2312" w:hAnsi="仿宋_GB2312" w:eastAsia="仿宋_GB2312" w:cs="仿宋_GB2312"/>
                <w:strike w:val="0"/>
                <w:dstrike w:val="0"/>
                <w:color w:val="auto"/>
                <w:sz w:val="21"/>
                <w:szCs w:val="21"/>
                <w:highlight w:val="none"/>
              </w:rPr>
              <w:t>除导师外</w:t>
            </w:r>
            <w:r>
              <w:rPr>
                <w:rFonts w:hint="eastAsia" w:ascii="仿宋_GB2312" w:hAnsi="仿宋_GB2312" w:eastAsia="仿宋_GB2312" w:cs="仿宋_GB2312"/>
                <w:color w:val="auto"/>
                <w:sz w:val="21"/>
                <w:szCs w:val="21"/>
                <w:highlight w:val="none"/>
              </w:rPr>
              <w:t>排名第一学生。</w:t>
            </w:r>
          </w:p>
        </w:tc>
      </w:tr>
      <w:tr w14:paraId="70484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540" w:type="dxa"/>
            <w:vMerge w:val="continue"/>
            <w:vAlign w:val="center"/>
          </w:tcPr>
          <w:p w14:paraId="3E45DB4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627" w:type="dxa"/>
            <w:vMerge w:val="continue"/>
            <w:vAlign w:val="center"/>
          </w:tcPr>
          <w:p w14:paraId="47357B8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2279" w:type="dxa"/>
            <w:gridSpan w:val="2"/>
            <w:vAlign w:val="center"/>
          </w:tcPr>
          <w:p w14:paraId="1364FB9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C72省部级一等奖</w:t>
            </w:r>
          </w:p>
        </w:tc>
        <w:tc>
          <w:tcPr>
            <w:tcW w:w="1133" w:type="dxa"/>
            <w:vAlign w:val="center"/>
          </w:tcPr>
          <w:p w14:paraId="44125BB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150分/项</w:t>
            </w:r>
          </w:p>
        </w:tc>
        <w:tc>
          <w:tcPr>
            <w:tcW w:w="8383" w:type="dxa"/>
            <w:gridSpan w:val="3"/>
            <w:vMerge w:val="continue"/>
            <w:vAlign w:val="center"/>
          </w:tcPr>
          <w:p w14:paraId="3261BE8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p>
        </w:tc>
      </w:tr>
      <w:tr w14:paraId="74AF5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540" w:type="dxa"/>
            <w:vMerge w:val="continue"/>
            <w:vAlign w:val="center"/>
          </w:tcPr>
          <w:p w14:paraId="5D2C825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627" w:type="dxa"/>
            <w:vMerge w:val="continue"/>
            <w:vAlign w:val="center"/>
          </w:tcPr>
          <w:p w14:paraId="6A5A9D1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2279" w:type="dxa"/>
            <w:gridSpan w:val="2"/>
            <w:vAlign w:val="center"/>
          </w:tcPr>
          <w:p w14:paraId="1E7995D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C73省部级二等奖</w:t>
            </w:r>
          </w:p>
        </w:tc>
        <w:tc>
          <w:tcPr>
            <w:tcW w:w="1133" w:type="dxa"/>
            <w:vAlign w:val="center"/>
          </w:tcPr>
          <w:p w14:paraId="52E452D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80分/项</w:t>
            </w:r>
          </w:p>
        </w:tc>
        <w:tc>
          <w:tcPr>
            <w:tcW w:w="8383" w:type="dxa"/>
            <w:gridSpan w:val="3"/>
            <w:vMerge w:val="continue"/>
            <w:vAlign w:val="center"/>
          </w:tcPr>
          <w:p w14:paraId="051A1B3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p>
        </w:tc>
      </w:tr>
      <w:tr w14:paraId="6E2C6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335" w:hRule="atLeast"/>
          <w:jc w:val="center"/>
        </w:trPr>
        <w:tc>
          <w:tcPr>
            <w:tcW w:w="1540" w:type="dxa"/>
            <w:vMerge w:val="continue"/>
            <w:vAlign w:val="center"/>
          </w:tcPr>
          <w:p w14:paraId="3DEF8BC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627" w:type="dxa"/>
            <w:vMerge w:val="continue"/>
            <w:vAlign w:val="center"/>
          </w:tcPr>
          <w:p w14:paraId="66F2C13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2279" w:type="dxa"/>
            <w:gridSpan w:val="2"/>
            <w:vAlign w:val="center"/>
          </w:tcPr>
          <w:p w14:paraId="60248B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C74其它奖项</w:t>
            </w:r>
          </w:p>
        </w:tc>
        <w:tc>
          <w:tcPr>
            <w:tcW w:w="1133" w:type="dxa"/>
            <w:vAlign w:val="center"/>
          </w:tcPr>
          <w:p w14:paraId="6C5107D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5分/项</w:t>
            </w:r>
          </w:p>
        </w:tc>
        <w:tc>
          <w:tcPr>
            <w:tcW w:w="8383" w:type="dxa"/>
            <w:gridSpan w:val="3"/>
            <w:vAlign w:val="center"/>
          </w:tcPr>
          <w:p w14:paraId="5C5775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kern w:val="0"/>
                <w:sz w:val="21"/>
                <w:szCs w:val="21"/>
                <w:highlight w:val="none"/>
              </w:rPr>
            </w:pPr>
            <w:r>
              <w:rPr>
                <w:rFonts w:hint="eastAsia" w:ascii="仿宋_GB2312" w:hAnsi="仿宋_GB2312" w:eastAsia="仿宋_GB2312" w:cs="仿宋_GB2312"/>
                <w:color w:val="auto"/>
                <w:kern w:val="0"/>
                <w:sz w:val="21"/>
                <w:szCs w:val="21"/>
                <w:highlight w:val="none"/>
              </w:rPr>
              <w:t>C74为学院认可的奖项，且只计</w:t>
            </w:r>
            <w:r>
              <w:rPr>
                <w:rFonts w:hint="eastAsia" w:ascii="仿宋_GB2312" w:hAnsi="仿宋_GB2312" w:eastAsia="仿宋_GB2312" w:cs="仿宋_GB2312"/>
                <w:strike w:val="0"/>
                <w:dstrike w:val="0"/>
                <w:color w:val="auto"/>
                <w:sz w:val="21"/>
                <w:szCs w:val="21"/>
                <w:highlight w:val="none"/>
              </w:rPr>
              <w:t>除导师外</w:t>
            </w:r>
            <w:r>
              <w:rPr>
                <w:rFonts w:hint="eastAsia" w:ascii="仿宋_GB2312" w:hAnsi="仿宋_GB2312" w:eastAsia="仿宋_GB2312" w:cs="仿宋_GB2312"/>
                <w:color w:val="auto"/>
                <w:kern w:val="0"/>
                <w:sz w:val="21"/>
                <w:szCs w:val="21"/>
                <w:highlight w:val="none"/>
              </w:rPr>
              <w:t>排名第一学生。</w:t>
            </w:r>
          </w:p>
        </w:tc>
      </w:tr>
      <w:tr w14:paraId="1649B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540" w:type="dxa"/>
            <w:vMerge w:val="restart"/>
            <w:vAlign w:val="center"/>
          </w:tcPr>
          <w:p w14:paraId="598FE7D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D实践能力</w:t>
            </w:r>
          </w:p>
        </w:tc>
        <w:tc>
          <w:tcPr>
            <w:tcW w:w="1627" w:type="dxa"/>
            <w:vMerge w:val="restart"/>
            <w:vAlign w:val="center"/>
          </w:tcPr>
          <w:p w14:paraId="6BF16B1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D1各类竞赛</w:t>
            </w:r>
          </w:p>
        </w:tc>
        <w:tc>
          <w:tcPr>
            <w:tcW w:w="2279" w:type="dxa"/>
            <w:gridSpan w:val="2"/>
            <w:vAlign w:val="center"/>
          </w:tcPr>
          <w:p w14:paraId="582DDCB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D11</w:t>
            </w:r>
            <w:r>
              <w:rPr>
                <w:rFonts w:hint="eastAsia" w:ascii="仿宋_GB2312" w:hAnsi="仿宋_GB2312" w:eastAsia="仿宋_GB2312" w:cs="仿宋_GB2312"/>
                <w:color w:val="auto"/>
                <w:sz w:val="21"/>
                <w:szCs w:val="21"/>
                <w:highlight w:val="none"/>
                <w:lang w:val="en-US" w:eastAsia="zh-CN"/>
              </w:rPr>
              <w:t xml:space="preserve"> </w:t>
            </w:r>
            <w:r>
              <w:rPr>
                <w:rFonts w:hint="eastAsia" w:ascii="仿宋_GB2312" w:hAnsi="仿宋_GB2312" w:eastAsia="仿宋_GB2312" w:cs="仿宋_GB2312"/>
                <w:color w:val="auto"/>
                <w:sz w:val="21"/>
                <w:szCs w:val="21"/>
                <w:highlight w:val="none"/>
              </w:rPr>
              <w:t xml:space="preserve"> I级甲等</w:t>
            </w:r>
          </w:p>
        </w:tc>
        <w:tc>
          <w:tcPr>
            <w:tcW w:w="1133" w:type="dxa"/>
            <w:vAlign w:val="center"/>
          </w:tcPr>
          <w:p w14:paraId="7353C48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60分/项</w:t>
            </w:r>
          </w:p>
        </w:tc>
        <w:tc>
          <w:tcPr>
            <w:tcW w:w="8383" w:type="dxa"/>
            <w:gridSpan w:val="3"/>
            <w:vMerge w:val="restart"/>
            <w:vAlign w:val="center"/>
          </w:tcPr>
          <w:p w14:paraId="7BD63C8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b/>
                <w:bCs/>
                <w:color w:val="auto"/>
                <w:sz w:val="21"/>
                <w:szCs w:val="21"/>
                <w:highlight w:val="none"/>
              </w:rPr>
              <w:t>奖项等级系数：</w:t>
            </w:r>
            <w:r>
              <w:rPr>
                <w:rFonts w:hint="eastAsia" w:ascii="仿宋_GB2312" w:hAnsi="仿宋_GB2312" w:eastAsia="仿宋_GB2312" w:cs="仿宋_GB2312"/>
                <w:color w:val="auto"/>
                <w:sz w:val="21"/>
                <w:szCs w:val="21"/>
                <w:highlight w:val="none"/>
              </w:rPr>
              <w:t>国赛第一层次为1，第二层次为0.4，第三层次为0.2，其他层次为0.1；</w:t>
            </w:r>
          </w:p>
          <w:p w14:paraId="4E0F07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b/>
                <w:bCs/>
                <w:color w:val="auto"/>
                <w:sz w:val="21"/>
                <w:szCs w:val="21"/>
                <w:highlight w:val="none"/>
              </w:rPr>
              <w:t>类别系数：</w:t>
            </w:r>
            <w:r>
              <w:rPr>
                <w:rFonts w:hint="eastAsia" w:ascii="仿宋_GB2312" w:hAnsi="仿宋_GB2312" w:eastAsia="仿宋_GB2312" w:cs="仿宋_GB2312"/>
                <w:color w:val="auto"/>
                <w:sz w:val="21"/>
                <w:szCs w:val="21"/>
                <w:highlight w:val="none"/>
              </w:rPr>
              <w:t>个人项目系数为1；</w:t>
            </w:r>
            <w:r>
              <w:rPr>
                <w:rFonts w:hint="eastAsia" w:ascii="仿宋_GB2312" w:hAnsi="仿宋_GB2312" w:eastAsia="仿宋_GB2312" w:cs="仿宋_GB2312"/>
                <w:strike w:val="0"/>
                <w:dstrike w:val="0"/>
                <w:color w:val="auto"/>
                <w:sz w:val="21"/>
                <w:szCs w:val="21"/>
                <w:highlight w:val="none"/>
              </w:rPr>
              <w:t>团体赛项目为2人的，按照证书排名系数分别为0.6、0.4；团体赛项目为3人及以上，按照证书排名前三名的系数分别为0.5、0.3、0.2，第四及以后的系数均为0.1。</w:t>
            </w:r>
            <w:r>
              <w:rPr>
                <w:rFonts w:hint="eastAsia" w:ascii="仿宋_GB2312" w:hAnsi="仿宋_GB2312" w:eastAsia="仿宋_GB2312" w:cs="仿宋_GB2312"/>
                <w:color w:val="auto"/>
                <w:sz w:val="21"/>
                <w:szCs w:val="21"/>
                <w:highlight w:val="none"/>
                <w:lang w:eastAsia="zh-CN"/>
              </w:rPr>
              <w:t>（</w:t>
            </w:r>
            <w:r>
              <w:rPr>
                <w:rFonts w:hint="eastAsia" w:ascii="仿宋_GB2312" w:hAnsi="仿宋_GB2312" w:eastAsia="仿宋_GB2312" w:cs="仿宋_GB2312"/>
                <w:color w:val="auto"/>
                <w:sz w:val="21"/>
                <w:szCs w:val="21"/>
                <w:highlight w:val="none"/>
              </w:rPr>
              <w:t>竞赛等级参照《</w:t>
            </w:r>
            <w:r>
              <w:rPr>
                <w:rFonts w:hint="eastAsia" w:ascii="仿宋_GB2312" w:hAnsi="仿宋_GB2312" w:eastAsia="仿宋_GB2312" w:cs="仿宋_GB2312"/>
                <w:color w:val="auto"/>
                <w:sz w:val="21"/>
                <w:szCs w:val="21"/>
                <w:highlight w:val="none"/>
                <w:lang w:val="en-US" w:eastAsia="zh-CN"/>
              </w:rPr>
              <w:t>关于调整</w:t>
            </w:r>
            <w:r>
              <w:rPr>
                <w:rFonts w:hint="eastAsia" w:ascii="仿宋_GB2312" w:hAnsi="仿宋_GB2312" w:eastAsia="仿宋_GB2312" w:cs="仿宋_GB2312"/>
                <w:color w:val="auto"/>
                <w:sz w:val="21"/>
                <w:szCs w:val="21"/>
                <w:highlight w:val="none"/>
              </w:rPr>
              <w:t>常州大学大学生</w:t>
            </w:r>
            <w:r>
              <w:rPr>
                <w:rFonts w:hint="eastAsia" w:ascii="仿宋_GB2312" w:hAnsi="仿宋_GB2312" w:eastAsia="仿宋_GB2312" w:cs="仿宋_GB2312"/>
                <w:color w:val="auto"/>
                <w:sz w:val="21"/>
                <w:szCs w:val="21"/>
                <w:highlight w:val="none"/>
                <w:lang w:val="en-US" w:eastAsia="zh-CN"/>
              </w:rPr>
              <w:t>I级</w:t>
            </w:r>
            <w:r>
              <w:rPr>
                <w:rFonts w:hint="eastAsia" w:ascii="仿宋_GB2312" w:hAnsi="仿宋_GB2312" w:eastAsia="仿宋_GB2312" w:cs="仿宋_GB2312"/>
                <w:color w:val="auto"/>
                <w:sz w:val="21"/>
                <w:szCs w:val="21"/>
                <w:highlight w:val="none"/>
              </w:rPr>
              <w:t>竞赛</w:t>
            </w:r>
            <w:r>
              <w:rPr>
                <w:rFonts w:hint="eastAsia" w:ascii="仿宋_GB2312" w:hAnsi="仿宋_GB2312" w:eastAsia="仿宋_GB2312" w:cs="仿宋_GB2312"/>
                <w:color w:val="auto"/>
                <w:sz w:val="21"/>
                <w:szCs w:val="21"/>
                <w:highlight w:val="none"/>
                <w:lang w:val="en-US" w:eastAsia="zh-CN"/>
              </w:rPr>
              <w:t>项目的通知</w:t>
            </w:r>
            <w:r>
              <w:rPr>
                <w:rFonts w:hint="eastAsia" w:ascii="仿宋_GB2312" w:hAnsi="仿宋_GB2312" w:eastAsia="仿宋_GB2312" w:cs="仿宋_GB2312"/>
                <w:color w:val="auto"/>
                <w:sz w:val="21"/>
                <w:szCs w:val="21"/>
                <w:highlight w:val="none"/>
              </w:rPr>
              <w:t>》常大</w:t>
            </w:r>
            <w:r>
              <w:rPr>
                <w:rFonts w:hint="eastAsia" w:ascii="仿宋_GB2312" w:hAnsi="仿宋_GB2312" w:eastAsia="仿宋_GB2312" w:cs="仿宋_GB2312"/>
                <w:strike w:val="0"/>
                <w:dstrike w:val="0"/>
                <w:color w:val="auto"/>
                <w:sz w:val="21"/>
                <w:szCs w:val="21"/>
                <w:highlight w:val="none"/>
                <w:u w:val="none"/>
              </w:rPr>
              <w:t>〔 202</w:t>
            </w:r>
            <w:r>
              <w:rPr>
                <w:rFonts w:hint="eastAsia" w:ascii="仿宋_GB2312" w:hAnsi="仿宋_GB2312" w:eastAsia="仿宋_GB2312" w:cs="仿宋_GB2312"/>
                <w:strike w:val="0"/>
                <w:dstrike w:val="0"/>
                <w:color w:val="auto"/>
                <w:sz w:val="21"/>
                <w:szCs w:val="21"/>
                <w:highlight w:val="none"/>
                <w:u w:val="none"/>
                <w:lang w:val="en-US" w:eastAsia="zh-CN"/>
              </w:rPr>
              <w:t>3</w:t>
            </w:r>
            <w:r>
              <w:rPr>
                <w:rFonts w:hint="eastAsia" w:ascii="仿宋_GB2312" w:hAnsi="仿宋_GB2312" w:eastAsia="仿宋_GB2312" w:cs="仿宋_GB2312"/>
                <w:strike w:val="0"/>
                <w:dstrike w:val="0"/>
                <w:color w:val="auto"/>
                <w:sz w:val="21"/>
                <w:szCs w:val="21"/>
                <w:highlight w:val="none"/>
                <w:u w:val="none"/>
              </w:rPr>
              <w:t xml:space="preserve"> 〕</w:t>
            </w:r>
            <w:r>
              <w:rPr>
                <w:rFonts w:hint="eastAsia" w:ascii="仿宋_GB2312" w:hAnsi="仿宋_GB2312" w:eastAsia="仿宋_GB2312" w:cs="仿宋_GB2312"/>
                <w:strike w:val="0"/>
                <w:dstrike w:val="0"/>
                <w:color w:val="auto"/>
                <w:sz w:val="21"/>
                <w:szCs w:val="21"/>
                <w:highlight w:val="none"/>
                <w:u w:val="none"/>
                <w:lang w:val="en-US" w:eastAsia="zh-CN"/>
              </w:rPr>
              <w:t>25</w:t>
            </w:r>
            <w:r>
              <w:rPr>
                <w:rFonts w:hint="eastAsia" w:ascii="仿宋_GB2312" w:hAnsi="仿宋_GB2312" w:eastAsia="仿宋_GB2312" w:cs="仿宋_GB2312"/>
                <w:strike w:val="0"/>
                <w:dstrike w:val="0"/>
                <w:color w:val="auto"/>
                <w:sz w:val="21"/>
                <w:szCs w:val="21"/>
                <w:highlight w:val="none"/>
                <w:u w:val="none"/>
              </w:rPr>
              <w:t>号</w:t>
            </w:r>
            <w:r>
              <w:rPr>
                <w:rFonts w:hint="eastAsia" w:ascii="仿宋_GB2312" w:hAnsi="仿宋_GB2312" w:eastAsia="仿宋_GB2312" w:cs="仿宋_GB2312"/>
                <w:color w:val="auto"/>
                <w:sz w:val="21"/>
                <w:szCs w:val="21"/>
                <w:highlight w:val="none"/>
              </w:rPr>
              <w:t xml:space="preserve"> 中的规定）</w:t>
            </w:r>
            <w:r>
              <w:rPr>
                <w:rFonts w:hint="eastAsia" w:ascii="仿宋_GB2312" w:hAnsi="仿宋_GB2312" w:eastAsia="仿宋_GB2312" w:cs="仿宋_GB2312"/>
                <w:color w:val="auto"/>
                <w:kern w:val="0"/>
                <w:sz w:val="21"/>
                <w:szCs w:val="21"/>
                <w:highlight w:val="none"/>
                <w:lang w:val="en-US" w:eastAsia="zh-CN" w:bidi="ar"/>
              </w:rPr>
              <w:t>，</w:t>
            </w:r>
            <w:r>
              <w:rPr>
                <w:rFonts w:hint="eastAsia" w:ascii="仿宋_GB2312" w:hAnsi="仿宋_GB2312" w:eastAsia="仿宋_GB2312" w:cs="仿宋_GB2312"/>
                <w:color w:val="auto"/>
                <w:sz w:val="21"/>
                <w:szCs w:val="21"/>
                <w:highlight w:val="none"/>
                <w:lang w:val="en-US" w:eastAsia="zh-CN"/>
              </w:rPr>
              <w:t>未列入该办法的中国研究生创新实践系列大赛获奖按照I级丙等相应层次加分)</w:t>
            </w:r>
          </w:p>
          <w:p w14:paraId="32FBF1C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lang w:val="en-US" w:eastAsia="zh-CN"/>
              </w:rPr>
              <w:t>D14为江苏省学位办公布的研究生科研创新实践大赛及学院认可的奖励，</w:t>
            </w:r>
            <w:r>
              <w:rPr>
                <w:rFonts w:hint="eastAsia" w:ascii="仿宋_GB2312" w:hAnsi="仿宋_GB2312" w:eastAsia="仿宋_GB2312" w:cs="仿宋_GB2312"/>
                <w:color w:val="auto"/>
                <w:sz w:val="21"/>
                <w:szCs w:val="21"/>
                <w:highlight w:val="none"/>
              </w:rPr>
              <w:t>相关计分系数学院根据实际执行。</w:t>
            </w:r>
            <w:r>
              <w:rPr>
                <w:rFonts w:hint="eastAsia" w:ascii="仿宋_GB2312" w:hAnsi="仿宋_GB2312" w:eastAsia="仿宋_GB2312" w:cs="仿宋_GB2312"/>
                <w:strike w:val="0"/>
                <w:dstrike w:val="0"/>
                <w:color w:val="auto"/>
                <w:sz w:val="21"/>
                <w:szCs w:val="21"/>
                <w:highlight w:val="none"/>
              </w:rPr>
              <w:t>国家学位办、教育部主办的竞赛视同D12，省学位办、教育厅主办的竞赛视同D13。</w:t>
            </w:r>
          </w:p>
        </w:tc>
      </w:tr>
      <w:tr w14:paraId="4F5A0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540" w:type="dxa"/>
            <w:vMerge w:val="continue"/>
            <w:vAlign w:val="center"/>
          </w:tcPr>
          <w:p w14:paraId="5B44BB4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627" w:type="dxa"/>
            <w:vMerge w:val="continue"/>
            <w:vAlign w:val="center"/>
          </w:tcPr>
          <w:p w14:paraId="16AC7A3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2279" w:type="dxa"/>
            <w:gridSpan w:val="2"/>
            <w:vAlign w:val="center"/>
          </w:tcPr>
          <w:p w14:paraId="6DE22EC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D12</w:t>
            </w:r>
            <w:r>
              <w:rPr>
                <w:rFonts w:hint="eastAsia" w:ascii="仿宋_GB2312" w:hAnsi="仿宋_GB2312" w:eastAsia="仿宋_GB2312" w:cs="仿宋_GB2312"/>
                <w:color w:val="auto"/>
                <w:sz w:val="21"/>
                <w:szCs w:val="21"/>
                <w:highlight w:val="none"/>
                <w:lang w:val="en-US" w:eastAsia="zh-CN"/>
              </w:rPr>
              <w:t xml:space="preserve"> </w:t>
            </w:r>
            <w:r>
              <w:rPr>
                <w:rFonts w:hint="eastAsia" w:ascii="仿宋_GB2312" w:hAnsi="仿宋_GB2312" w:eastAsia="仿宋_GB2312" w:cs="仿宋_GB2312"/>
                <w:color w:val="auto"/>
                <w:sz w:val="21"/>
                <w:szCs w:val="21"/>
                <w:highlight w:val="none"/>
              </w:rPr>
              <w:t xml:space="preserve"> I级乙等</w:t>
            </w:r>
          </w:p>
        </w:tc>
        <w:tc>
          <w:tcPr>
            <w:tcW w:w="1133" w:type="dxa"/>
            <w:vAlign w:val="center"/>
          </w:tcPr>
          <w:p w14:paraId="452DBD7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40分/项</w:t>
            </w:r>
          </w:p>
        </w:tc>
        <w:tc>
          <w:tcPr>
            <w:tcW w:w="8383" w:type="dxa"/>
            <w:gridSpan w:val="3"/>
            <w:vMerge w:val="continue"/>
            <w:vAlign w:val="center"/>
          </w:tcPr>
          <w:p w14:paraId="2A2F000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p>
        </w:tc>
      </w:tr>
      <w:tr w14:paraId="7E4E7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540" w:type="dxa"/>
            <w:vMerge w:val="continue"/>
            <w:vAlign w:val="center"/>
          </w:tcPr>
          <w:p w14:paraId="370E03E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627" w:type="dxa"/>
            <w:vMerge w:val="continue"/>
            <w:vAlign w:val="center"/>
          </w:tcPr>
          <w:p w14:paraId="1D20240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2279" w:type="dxa"/>
            <w:gridSpan w:val="2"/>
            <w:vAlign w:val="center"/>
          </w:tcPr>
          <w:p w14:paraId="2443979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D13</w:t>
            </w:r>
            <w:r>
              <w:rPr>
                <w:rFonts w:hint="eastAsia" w:ascii="仿宋_GB2312" w:hAnsi="仿宋_GB2312" w:eastAsia="仿宋_GB2312" w:cs="仿宋_GB2312"/>
                <w:color w:val="auto"/>
                <w:sz w:val="21"/>
                <w:szCs w:val="21"/>
                <w:highlight w:val="none"/>
                <w:lang w:val="en-US" w:eastAsia="zh-CN"/>
              </w:rPr>
              <w:t xml:space="preserve"> </w:t>
            </w:r>
            <w:r>
              <w:rPr>
                <w:rFonts w:hint="eastAsia" w:ascii="仿宋_GB2312" w:hAnsi="仿宋_GB2312" w:eastAsia="仿宋_GB2312" w:cs="仿宋_GB2312"/>
                <w:color w:val="auto"/>
                <w:sz w:val="21"/>
                <w:szCs w:val="21"/>
                <w:highlight w:val="none"/>
              </w:rPr>
              <w:t xml:space="preserve"> I级丙等</w:t>
            </w:r>
          </w:p>
        </w:tc>
        <w:tc>
          <w:tcPr>
            <w:tcW w:w="1133" w:type="dxa"/>
            <w:vAlign w:val="center"/>
          </w:tcPr>
          <w:p w14:paraId="484145B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20分/项</w:t>
            </w:r>
          </w:p>
        </w:tc>
        <w:tc>
          <w:tcPr>
            <w:tcW w:w="8383" w:type="dxa"/>
            <w:gridSpan w:val="3"/>
            <w:vMerge w:val="continue"/>
            <w:vAlign w:val="center"/>
          </w:tcPr>
          <w:p w14:paraId="258ED69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p>
        </w:tc>
      </w:tr>
      <w:tr w14:paraId="4EFE2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540" w:type="dxa"/>
            <w:vMerge w:val="continue"/>
            <w:vAlign w:val="center"/>
          </w:tcPr>
          <w:p w14:paraId="25CD785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1627" w:type="dxa"/>
            <w:vMerge w:val="continue"/>
            <w:vAlign w:val="center"/>
          </w:tcPr>
          <w:p w14:paraId="2E1ED97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p>
        </w:tc>
        <w:tc>
          <w:tcPr>
            <w:tcW w:w="2279" w:type="dxa"/>
            <w:gridSpan w:val="2"/>
            <w:vAlign w:val="center"/>
          </w:tcPr>
          <w:p w14:paraId="0DFD4A7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D14其他奖项</w:t>
            </w:r>
          </w:p>
        </w:tc>
        <w:tc>
          <w:tcPr>
            <w:tcW w:w="1133" w:type="dxa"/>
            <w:vAlign w:val="center"/>
          </w:tcPr>
          <w:p w14:paraId="7C8E639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jc w:val="center"/>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10分/项</w:t>
            </w:r>
          </w:p>
        </w:tc>
        <w:tc>
          <w:tcPr>
            <w:tcW w:w="8383" w:type="dxa"/>
            <w:gridSpan w:val="3"/>
            <w:vMerge w:val="continue"/>
            <w:vAlign w:val="center"/>
          </w:tcPr>
          <w:p w14:paraId="0DC5658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p>
        </w:tc>
      </w:tr>
      <w:tr w14:paraId="681F3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540" w:type="dxa"/>
            <w:vMerge w:val="continue"/>
            <w:vAlign w:val="center"/>
          </w:tcPr>
          <w:p w14:paraId="48754AD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p>
        </w:tc>
        <w:tc>
          <w:tcPr>
            <w:tcW w:w="1627" w:type="dxa"/>
            <w:vMerge w:val="restart"/>
            <w:vAlign w:val="center"/>
          </w:tcPr>
          <w:p w14:paraId="33E4A9F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D2普通作品</w:t>
            </w:r>
          </w:p>
        </w:tc>
        <w:tc>
          <w:tcPr>
            <w:tcW w:w="2279" w:type="dxa"/>
            <w:gridSpan w:val="2"/>
            <w:vAlign w:val="center"/>
          </w:tcPr>
          <w:p w14:paraId="46BB58F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D21中国研究生</w:t>
            </w:r>
          </w:p>
        </w:tc>
        <w:tc>
          <w:tcPr>
            <w:tcW w:w="1133" w:type="dxa"/>
            <w:vAlign w:val="center"/>
          </w:tcPr>
          <w:p w14:paraId="56697AB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firstLine="210" w:firstLineChars="10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3分/篇</w:t>
            </w:r>
          </w:p>
        </w:tc>
        <w:tc>
          <w:tcPr>
            <w:tcW w:w="8383" w:type="dxa"/>
            <w:gridSpan w:val="3"/>
            <w:vMerge w:val="restart"/>
            <w:vAlign w:val="center"/>
          </w:tcPr>
          <w:p w14:paraId="266EB95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D21项限2篇，D22项限在校级以上报刊、媒体上发布通讯报道，限5篇（不重复计分）。</w:t>
            </w:r>
          </w:p>
          <w:p w14:paraId="628120A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strike w:val="0"/>
                <w:dstrike w:val="0"/>
                <w:color w:val="auto"/>
                <w:sz w:val="21"/>
                <w:szCs w:val="21"/>
                <w:highlight w:val="none"/>
              </w:rPr>
              <w:t>长期为学院提供新闻报道、公众号稿件的，每两篇折合一篇校级稿件，</w:t>
            </w:r>
            <w:r>
              <w:rPr>
                <w:rFonts w:hint="eastAsia" w:ascii="仿宋_GB2312" w:hAnsi="仿宋_GB2312" w:eastAsia="仿宋_GB2312" w:cs="仿宋_GB2312"/>
                <w:strike w:val="0"/>
                <w:dstrike w:val="0"/>
                <w:color w:val="auto"/>
                <w:sz w:val="21"/>
                <w:szCs w:val="21"/>
                <w:highlight w:val="none"/>
                <w:lang w:val="en-US" w:eastAsia="zh-CN"/>
              </w:rPr>
              <w:t>上限</w:t>
            </w:r>
            <w:r>
              <w:rPr>
                <w:rFonts w:hint="eastAsia" w:ascii="仿宋_GB2312" w:hAnsi="仿宋_GB2312" w:eastAsia="仿宋_GB2312" w:cs="仿宋_GB2312"/>
                <w:strike w:val="0"/>
                <w:dstrike w:val="0"/>
                <w:color w:val="auto"/>
                <w:sz w:val="21"/>
                <w:szCs w:val="21"/>
                <w:highlight w:val="none"/>
              </w:rPr>
              <w:t>2分。</w:t>
            </w:r>
          </w:p>
        </w:tc>
      </w:tr>
      <w:tr w14:paraId="792FC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jc w:val="center"/>
        </w:trPr>
        <w:tc>
          <w:tcPr>
            <w:tcW w:w="1540" w:type="dxa"/>
            <w:vMerge w:val="continue"/>
            <w:vAlign w:val="center"/>
          </w:tcPr>
          <w:p w14:paraId="420843B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p>
        </w:tc>
        <w:tc>
          <w:tcPr>
            <w:tcW w:w="1627" w:type="dxa"/>
            <w:vMerge w:val="continue"/>
            <w:vAlign w:val="center"/>
          </w:tcPr>
          <w:p w14:paraId="543C450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p>
        </w:tc>
        <w:tc>
          <w:tcPr>
            <w:tcW w:w="2279" w:type="dxa"/>
            <w:gridSpan w:val="2"/>
            <w:vAlign w:val="center"/>
          </w:tcPr>
          <w:p w14:paraId="4F8A45F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 xml:space="preserve">D22 其他报刊、媒体 </w:t>
            </w:r>
          </w:p>
        </w:tc>
        <w:tc>
          <w:tcPr>
            <w:tcW w:w="1133" w:type="dxa"/>
            <w:vAlign w:val="center"/>
          </w:tcPr>
          <w:p w14:paraId="0EFDD82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firstLine="210" w:firstLineChars="100"/>
              <w:textAlignment w:val="auto"/>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1分/篇</w:t>
            </w:r>
          </w:p>
        </w:tc>
        <w:tc>
          <w:tcPr>
            <w:tcW w:w="8383" w:type="dxa"/>
            <w:gridSpan w:val="3"/>
            <w:vMerge w:val="continue"/>
            <w:vAlign w:val="center"/>
          </w:tcPr>
          <w:p w14:paraId="5D5AF57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仿宋_GB2312" w:hAnsi="仿宋_GB2312" w:eastAsia="仿宋_GB2312" w:cs="仿宋_GB2312"/>
                <w:color w:val="auto"/>
                <w:sz w:val="21"/>
                <w:szCs w:val="21"/>
                <w:highlight w:val="none"/>
              </w:rPr>
            </w:pPr>
          </w:p>
        </w:tc>
      </w:tr>
    </w:tbl>
    <w:p w14:paraId="40D80731">
      <w:pPr>
        <w:spacing w:line="320" w:lineRule="exact"/>
        <w:rPr>
          <w:rFonts w:eastAsia="仿宋"/>
          <w:szCs w:val="21"/>
          <w:highlight w:val="none"/>
        </w:rPr>
      </w:pPr>
    </w:p>
    <w:p w14:paraId="6222AFD7">
      <w:pPr>
        <w:spacing w:line="320" w:lineRule="exact"/>
        <w:rPr>
          <w:rFonts w:eastAsia="仿宋"/>
          <w:szCs w:val="21"/>
          <w:highlight w:val="none"/>
        </w:rPr>
      </w:pPr>
    </w:p>
    <w:p w14:paraId="37829438">
      <w:pPr>
        <w:spacing w:line="320" w:lineRule="exact"/>
        <w:rPr>
          <w:rFonts w:eastAsia="仿宋"/>
          <w:szCs w:val="21"/>
          <w:highlight w:val="none"/>
        </w:rPr>
      </w:pPr>
    </w:p>
    <w:p w14:paraId="60DA0E34">
      <w:pPr>
        <w:spacing w:line="320" w:lineRule="exact"/>
        <w:rPr>
          <w:rFonts w:eastAsia="仿宋"/>
          <w:color w:val="auto"/>
          <w:szCs w:val="21"/>
          <w:highlight w:val="none"/>
        </w:rPr>
      </w:pPr>
      <w:r>
        <w:rPr>
          <w:rFonts w:eastAsia="仿宋"/>
          <w:color w:val="auto"/>
          <w:szCs w:val="21"/>
          <w:highlight w:val="none"/>
        </w:rPr>
        <w:t xml:space="preserve">说明： </w:t>
      </w:r>
    </w:p>
    <w:p w14:paraId="5093B7A4">
      <w:pPr>
        <w:widowControl/>
        <w:spacing w:line="360" w:lineRule="exact"/>
        <w:rPr>
          <w:rFonts w:eastAsia="仿宋"/>
          <w:color w:val="auto"/>
          <w:szCs w:val="21"/>
          <w:highlight w:val="none"/>
        </w:rPr>
      </w:pPr>
      <w:r>
        <w:rPr>
          <w:rFonts w:hint="eastAsia" w:eastAsia="仿宋"/>
          <w:color w:val="auto"/>
          <w:kern w:val="0"/>
          <w:szCs w:val="21"/>
          <w:highlight w:val="none"/>
          <w:lang w:val="en-US" w:eastAsia="zh-CN"/>
        </w:rPr>
        <w:t>（1）</w:t>
      </w:r>
      <w:r>
        <w:rPr>
          <w:rFonts w:hint="default" w:eastAsia="仿宋"/>
          <w:color w:val="auto"/>
          <w:kern w:val="0"/>
          <w:szCs w:val="21"/>
          <w:highlight w:val="none"/>
          <w:lang w:val="en-US" w:eastAsia="zh-CN"/>
        </w:rPr>
        <w:t xml:space="preserve"> </w:t>
      </w:r>
      <w:r>
        <w:rPr>
          <w:rFonts w:hint="eastAsia" w:eastAsia="仿宋"/>
          <w:color w:val="auto"/>
          <w:kern w:val="0"/>
          <w:szCs w:val="21"/>
          <w:highlight w:val="none"/>
          <w:lang w:val="en-US" w:eastAsia="zh-CN"/>
        </w:rPr>
        <w:t>本细则为学校研究生综合评定指导性量化细则，学院须结合本院特点制订《常州大学环境学院研究生综合评定量化实施细则》，并经学院研究生奖（助）学金及校内评优表彰评审委员会审定通过后报学生处</w:t>
      </w:r>
      <w:r>
        <w:rPr>
          <w:rFonts w:hint="eastAsia" w:eastAsia="仿宋"/>
          <w:color w:val="auto"/>
          <w:kern w:val="0"/>
          <w:szCs w:val="21"/>
          <w:highlight w:val="none"/>
          <w:lang w:val="en-US" w:eastAsia="zh-CN"/>
        </w:rPr>
        <w:t>备案并公示后实施。</w:t>
      </w:r>
      <w:r>
        <w:rPr>
          <w:rFonts w:ascii="仿宋_GB2312" w:hAnsi="仿宋_GB2312" w:eastAsia="仿宋_GB2312" w:cs="仿宋_GB2312"/>
          <w:color w:val="auto"/>
          <w:kern w:val="0"/>
          <w:sz w:val="28"/>
          <w:szCs w:val="28"/>
          <w:highlight w:val="none"/>
          <w:lang w:val="en-US" w:eastAsia="zh-CN" w:bidi="ar"/>
        </w:rPr>
        <w:t xml:space="preserve"> </w:t>
      </w:r>
    </w:p>
    <w:p w14:paraId="7A350586">
      <w:pPr>
        <w:widowControl/>
        <w:spacing w:line="360" w:lineRule="exact"/>
        <w:rPr>
          <w:rFonts w:eastAsia="仿宋"/>
          <w:strike w:val="0"/>
          <w:color w:val="auto"/>
          <w:kern w:val="0"/>
          <w:szCs w:val="21"/>
          <w:highlight w:val="none"/>
        </w:rPr>
      </w:pPr>
      <w:r>
        <w:rPr>
          <w:rFonts w:hint="eastAsia" w:eastAsia="仿宋"/>
          <w:strike w:val="0"/>
          <w:dstrike w:val="0"/>
          <w:color w:val="auto"/>
          <w:kern w:val="0"/>
          <w:szCs w:val="21"/>
          <w:highlight w:val="none"/>
          <w:lang w:eastAsia="zh-CN"/>
        </w:rPr>
        <w:t>（</w:t>
      </w:r>
      <w:r>
        <w:rPr>
          <w:rFonts w:hint="eastAsia" w:eastAsia="仿宋"/>
          <w:strike w:val="0"/>
          <w:dstrike w:val="0"/>
          <w:color w:val="auto"/>
          <w:kern w:val="0"/>
          <w:szCs w:val="21"/>
          <w:highlight w:val="none"/>
          <w:lang w:val="en-US" w:eastAsia="zh-CN"/>
        </w:rPr>
        <w:t>2</w:t>
      </w:r>
      <w:r>
        <w:rPr>
          <w:rFonts w:hint="eastAsia" w:eastAsia="仿宋"/>
          <w:strike w:val="0"/>
          <w:dstrike w:val="0"/>
          <w:color w:val="auto"/>
          <w:kern w:val="0"/>
          <w:szCs w:val="21"/>
          <w:highlight w:val="none"/>
          <w:lang w:eastAsia="zh-CN"/>
        </w:rPr>
        <w:t>）</w:t>
      </w:r>
      <w:r>
        <w:rPr>
          <w:rFonts w:hint="eastAsia" w:eastAsia="仿宋"/>
          <w:color w:val="auto"/>
          <w:kern w:val="0"/>
          <w:szCs w:val="21"/>
          <w:highlight w:val="none"/>
        </w:rPr>
        <w:t>计分方法：综合评定分</w:t>
      </w:r>
      <w:r>
        <w:rPr>
          <w:rFonts w:eastAsia="仿宋"/>
          <w:color w:val="auto"/>
          <w:kern w:val="0"/>
          <w:szCs w:val="21"/>
          <w:highlight w:val="none"/>
        </w:rPr>
        <w:t>=</w:t>
      </w:r>
      <w:r>
        <w:rPr>
          <w:rFonts w:hint="eastAsia" w:eastAsia="仿宋"/>
          <w:color w:val="auto"/>
          <w:kern w:val="0"/>
          <w:szCs w:val="21"/>
          <w:highlight w:val="none"/>
        </w:rPr>
        <w:t>思想品德</w:t>
      </w:r>
      <w:r>
        <w:rPr>
          <w:rFonts w:eastAsia="仿宋"/>
          <w:color w:val="auto"/>
          <w:kern w:val="0"/>
          <w:szCs w:val="21"/>
          <w:highlight w:val="none"/>
        </w:rPr>
        <w:t>分+学</w:t>
      </w:r>
      <w:r>
        <w:rPr>
          <w:rFonts w:hint="eastAsia" w:eastAsia="仿宋"/>
          <w:color w:val="auto"/>
          <w:kern w:val="0"/>
          <w:szCs w:val="21"/>
          <w:highlight w:val="none"/>
        </w:rPr>
        <w:t>业成绩</w:t>
      </w:r>
      <w:r>
        <w:rPr>
          <w:rFonts w:eastAsia="仿宋"/>
          <w:color w:val="auto"/>
          <w:kern w:val="0"/>
          <w:szCs w:val="21"/>
          <w:highlight w:val="none"/>
        </w:rPr>
        <w:t>分+科研</w:t>
      </w:r>
      <w:r>
        <w:rPr>
          <w:rFonts w:hint="eastAsia" w:eastAsia="仿宋"/>
          <w:color w:val="auto"/>
          <w:kern w:val="0"/>
          <w:szCs w:val="21"/>
          <w:highlight w:val="none"/>
        </w:rPr>
        <w:t>能力</w:t>
      </w:r>
      <w:r>
        <w:rPr>
          <w:rFonts w:eastAsia="仿宋"/>
          <w:color w:val="auto"/>
          <w:kern w:val="0"/>
          <w:szCs w:val="21"/>
          <w:highlight w:val="none"/>
        </w:rPr>
        <w:t>分+</w:t>
      </w:r>
      <w:r>
        <w:rPr>
          <w:rFonts w:hint="eastAsia" w:eastAsia="仿宋"/>
          <w:color w:val="auto"/>
          <w:kern w:val="0"/>
          <w:szCs w:val="21"/>
          <w:highlight w:val="none"/>
        </w:rPr>
        <w:t>实践能力分</w:t>
      </w:r>
      <w:r>
        <w:rPr>
          <w:rFonts w:eastAsia="仿宋"/>
          <w:strike w:val="0"/>
          <w:dstrike w:val="0"/>
          <w:color w:val="auto"/>
          <w:kern w:val="0"/>
          <w:szCs w:val="21"/>
          <w:highlight w:val="none"/>
        </w:rPr>
        <w:t>+</w:t>
      </w:r>
      <w:r>
        <w:rPr>
          <w:rFonts w:hint="eastAsia" w:eastAsia="仿宋"/>
          <w:strike w:val="0"/>
          <w:dstrike w:val="0"/>
          <w:color w:val="auto"/>
          <w:kern w:val="0"/>
          <w:szCs w:val="21"/>
          <w:highlight w:val="none"/>
        </w:rPr>
        <w:t>日常表现评价分。在总分相同的情况下，</w:t>
      </w:r>
      <w:r>
        <w:rPr>
          <w:rFonts w:eastAsia="仿宋"/>
          <w:strike w:val="0"/>
          <w:dstrike w:val="0"/>
          <w:color w:val="auto"/>
          <w:kern w:val="0"/>
          <w:szCs w:val="21"/>
          <w:highlight w:val="none"/>
        </w:rPr>
        <w:t>C</w:t>
      </w:r>
      <w:r>
        <w:rPr>
          <w:rFonts w:hint="eastAsia" w:eastAsia="仿宋"/>
          <w:strike w:val="0"/>
          <w:dstrike w:val="0"/>
          <w:color w:val="auto"/>
          <w:kern w:val="0"/>
          <w:szCs w:val="21"/>
          <w:highlight w:val="none"/>
        </w:rPr>
        <w:t>项得分高者优先</w:t>
      </w:r>
      <w:r>
        <w:rPr>
          <w:rFonts w:hint="eastAsia" w:eastAsia="仿宋"/>
          <w:strike w:val="0"/>
          <w:dstrike w:val="0"/>
          <w:color w:val="auto"/>
          <w:kern w:val="0"/>
          <w:szCs w:val="21"/>
          <w:highlight w:val="none"/>
          <w:lang w:eastAsia="zh-CN"/>
        </w:rPr>
        <w:t>；</w:t>
      </w:r>
      <w:r>
        <w:rPr>
          <w:rFonts w:hint="eastAsia" w:eastAsia="仿宋"/>
          <w:strike w:val="0"/>
          <w:dstrike w:val="0"/>
          <w:color w:val="auto"/>
          <w:kern w:val="0"/>
          <w:szCs w:val="21"/>
          <w:highlight w:val="none"/>
          <w:lang w:val="en-US" w:eastAsia="zh-CN"/>
        </w:rPr>
        <w:t>若总</w:t>
      </w:r>
      <w:r>
        <w:rPr>
          <w:rFonts w:hint="eastAsia" w:eastAsia="仿宋"/>
          <w:strike w:val="0"/>
          <w:dstrike w:val="0"/>
          <w:color w:val="auto"/>
          <w:kern w:val="0"/>
          <w:szCs w:val="21"/>
          <w:highlight w:val="none"/>
        </w:rPr>
        <w:t>分</w:t>
      </w:r>
      <w:r>
        <w:rPr>
          <w:rFonts w:hint="eastAsia" w:eastAsia="仿宋"/>
          <w:strike w:val="0"/>
          <w:dstrike w:val="0"/>
          <w:color w:val="auto"/>
          <w:kern w:val="0"/>
          <w:szCs w:val="21"/>
          <w:highlight w:val="none"/>
          <w:lang w:val="en-US" w:eastAsia="zh-CN"/>
        </w:rPr>
        <w:t>相同</w:t>
      </w:r>
      <w:r>
        <w:rPr>
          <w:rFonts w:hint="eastAsia" w:eastAsia="仿宋"/>
          <w:strike w:val="0"/>
          <w:dstrike w:val="0"/>
          <w:color w:val="auto"/>
          <w:kern w:val="0"/>
          <w:szCs w:val="21"/>
          <w:highlight w:val="none"/>
        </w:rPr>
        <w:t>的情况下</w:t>
      </w:r>
      <w:r>
        <w:rPr>
          <w:rFonts w:hint="eastAsia" w:eastAsia="仿宋"/>
          <w:strike w:val="0"/>
          <w:dstrike w:val="0"/>
          <w:color w:val="auto"/>
          <w:kern w:val="0"/>
          <w:szCs w:val="21"/>
          <w:highlight w:val="none"/>
          <w:lang w:val="en-US" w:eastAsia="zh-CN"/>
        </w:rPr>
        <w:t>，</w:t>
      </w:r>
      <w:r>
        <w:rPr>
          <w:rFonts w:hint="eastAsia" w:ascii="Times New Roman" w:hAnsi="Times New Roman" w:eastAsia="仿宋" w:cs="Times New Roman"/>
          <w:strike w:val="0"/>
          <w:dstrike w:val="0"/>
          <w:color w:val="auto"/>
          <w:kern w:val="0"/>
          <w:szCs w:val="21"/>
          <w:highlight w:val="none"/>
        </w:rPr>
        <w:t>硕士二年级</w:t>
      </w:r>
      <w:r>
        <w:rPr>
          <w:rFonts w:hint="eastAsia" w:ascii="Times New Roman" w:hAnsi="Times New Roman" w:eastAsia="仿宋" w:cs="Times New Roman"/>
          <w:strike w:val="0"/>
          <w:dstrike w:val="0"/>
          <w:color w:val="auto"/>
          <w:kern w:val="0"/>
          <w:szCs w:val="21"/>
          <w:highlight w:val="none"/>
          <w:lang w:val="en-US" w:eastAsia="zh-CN"/>
        </w:rPr>
        <w:t>按照</w:t>
      </w:r>
      <w:r>
        <w:rPr>
          <w:rFonts w:hint="eastAsia" w:ascii="Times New Roman" w:hAnsi="Times New Roman" w:eastAsia="仿宋" w:cs="Times New Roman"/>
          <w:strike w:val="0"/>
          <w:dstrike w:val="0"/>
          <w:color w:val="auto"/>
          <w:kern w:val="0"/>
          <w:szCs w:val="21"/>
          <w:highlight w:val="none"/>
        </w:rPr>
        <w:t>课程分数积分</w:t>
      </w:r>
      <w:r>
        <w:rPr>
          <w:rFonts w:hint="eastAsia" w:ascii="Times New Roman" w:hAnsi="Times New Roman" w:eastAsia="仿宋" w:cs="Times New Roman"/>
          <w:strike w:val="0"/>
          <w:dstrike w:val="0"/>
          <w:color w:val="auto"/>
          <w:kern w:val="0"/>
          <w:szCs w:val="21"/>
          <w:highlight w:val="none"/>
          <w:lang w:val="en-US" w:eastAsia="zh-CN"/>
        </w:rPr>
        <w:t>排名</w:t>
      </w:r>
      <w:r>
        <w:rPr>
          <w:rFonts w:hint="eastAsia" w:ascii="Times New Roman" w:hAnsi="Times New Roman" w:eastAsia="仿宋" w:cs="Times New Roman"/>
          <w:strike w:val="0"/>
          <w:dstrike w:val="0"/>
          <w:color w:val="auto"/>
          <w:kern w:val="0"/>
          <w:szCs w:val="21"/>
          <w:highlight w:val="none"/>
        </w:rPr>
        <w:t>。</w:t>
      </w:r>
    </w:p>
    <w:p w14:paraId="2F6D1C9E">
      <w:pPr>
        <w:widowControl/>
        <w:spacing w:line="360" w:lineRule="exact"/>
        <w:rPr>
          <w:rFonts w:hint="eastAsia" w:eastAsia="仿宋"/>
          <w:color w:val="auto"/>
          <w:kern w:val="0"/>
          <w:szCs w:val="21"/>
          <w:highlight w:val="none"/>
          <w:u w:val="none"/>
        </w:rPr>
      </w:pPr>
      <w:r>
        <w:rPr>
          <w:rFonts w:hint="eastAsia" w:eastAsia="仿宋"/>
          <w:strike w:val="0"/>
          <w:dstrike w:val="0"/>
          <w:color w:val="auto"/>
          <w:kern w:val="0"/>
          <w:szCs w:val="21"/>
          <w:highlight w:val="none"/>
          <w:u w:val="none"/>
          <w:lang w:eastAsia="zh-CN"/>
        </w:rPr>
        <w:t>（</w:t>
      </w:r>
      <w:r>
        <w:rPr>
          <w:rFonts w:hint="eastAsia" w:eastAsia="仿宋"/>
          <w:strike w:val="0"/>
          <w:dstrike w:val="0"/>
          <w:color w:val="auto"/>
          <w:kern w:val="0"/>
          <w:szCs w:val="21"/>
          <w:highlight w:val="none"/>
          <w:u w:val="none"/>
          <w:lang w:val="en-US" w:eastAsia="zh-CN"/>
        </w:rPr>
        <w:t>3</w:t>
      </w:r>
      <w:r>
        <w:rPr>
          <w:rFonts w:hint="eastAsia" w:eastAsia="仿宋"/>
          <w:strike w:val="0"/>
          <w:dstrike w:val="0"/>
          <w:color w:val="auto"/>
          <w:kern w:val="0"/>
          <w:szCs w:val="21"/>
          <w:highlight w:val="none"/>
          <w:u w:val="none"/>
          <w:lang w:eastAsia="zh-CN"/>
        </w:rPr>
        <w:t>）</w:t>
      </w:r>
      <w:r>
        <w:rPr>
          <w:rFonts w:hint="eastAsia" w:eastAsia="仿宋"/>
          <w:color w:val="auto"/>
          <w:kern w:val="0"/>
          <w:szCs w:val="21"/>
          <w:highlight w:val="none"/>
        </w:rPr>
        <w:t>计分依据：细则内每项成果须为评奖学年内（自上一年综合评定成果截止时间至当年</w:t>
      </w:r>
      <w:r>
        <w:rPr>
          <w:rFonts w:hint="eastAsia" w:eastAsia="仿宋"/>
          <w:color w:val="auto"/>
          <w:kern w:val="0"/>
          <w:szCs w:val="21"/>
          <w:highlight w:val="none"/>
          <w:lang w:val="en-US" w:eastAsia="zh-CN"/>
        </w:rPr>
        <w:t>学校发布</w:t>
      </w:r>
      <w:r>
        <w:rPr>
          <w:rFonts w:hint="eastAsia" w:eastAsia="仿宋"/>
          <w:color w:val="auto"/>
          <w:kern w:val="0"/>
          <w:szCs w:val="21"/>
          <w:highlight w:val="none"/>
        </w:rPr>
        <w:t>评奖</w:t>
      </w:r>
      <w:r>
        <w:rPr>
          <w:rFonts w:hint="eastAsia" w:eastAsia="仿宋"/>
          <w:color w:val="auto"/>
          <w:kern w:val="0"/>
          <w:szCs w:val="21"/>
          <w:highlight w:val="none"/>
          <w:lang w:val="en-US" w:eastAsia="zh-CN"/>
        </w:rPr>
        <w:t>评优通知之日</w:t>
      </w:r>
      <w:r>
        <w:rPr>
          <w:rFonts w:hint="eastAsia" w:eastAsia="仿宋"/>
          <w:color w:val="auto"/>
          <w:kern w:val="0"/>
          <w:szCs w:val="21"/>
          <w:highlight w:val="none"/>
        </w:rPr>
        <w:t>）取得的成果，对于成果认定以证书或发表时间为准（每项成果必须为该生自研究生入学报到以来开展并在往年评奖评优中未使用的成果）。</w:t>
      </w:r>
      <w:r>
        <w:rPr>
          <w:rFonts w:hint="eastAsia" w:ascii="Times New Roman" w:hAnsi="Times New Roman" w:eastAsia="仿宋" w:cs="Times New Roman"/>
          <w:color w:val="auto"/>
          <w:kern w:val="0"/>
          <w:szCs w:val="21"/>
          <w:highlight w:val="none"/>
          <w:lang w:val="en-US" w:eastAsia="zh-CN"/>
        </w:rPr>
        <w:t>中文论文须以正式发表见刊为准，英文论文须以ONLINE为准</w:t>
      </w:r>
      <w:r>
        <w:rPr>
          <w:rFonts w:hint="eastAsia" w:eastAsia="仿宋"/>
          <w:color w:val="auto"/>
          <w:kern w:val="0"/>
          <w:szCs w:val="21"/>
          <w:highlight w:val="none"/>
        </w:rPr>
        <w:t>，仅有录用通知不计分，收录情况须出具检索证明</w:t>
      </w:r>
      <w:r>
        <w:rPr>
          <w:rFonts w:hint="eastAsia" w:eastAsia="仿宋"/>
          <w:color w:val="auto"/>
          <w:kern w:val="0"/>
          <w:szCs w:val="21"/>
          <w:highlight w:val="none"/>
          <w:lang w:eastAsia="zh-CN"/>
        </w:rPr>
        <w:t>。</w:t>
      </w:r>
      <w:r>
        <w:rPr>
          <w:rFonts w:hint="eastAsia" w:eastAsia="仿宋"/>
          <w:color w:val="auto"/>
          <w:kern w:val="0"/>
          <w:szCs w:val="21"/>
          <w:highlight w:val="none"/>
          <w:u w:val="none"/>
        </w:rPr>
        <w:t>SCI分区以测评当年中科院最新版（大类分区）为准，境内SCI期刊论文分值乘以系数1.1</w:t>
      </w:r>
      <w:r>
        <w:rPr>
          <w:rFonts w:hint="eastAsia" w:eastAsia="仿宋"/>
          <w:color w:val="auto"/>
          <w:kern w:val="0"/>
          <w:szCs w:val="21"/>
          <w:highlight w:val="none"/>
          <w:u w:val="none"/>
          <w:lang w:eastAsia="zh-CN"/>
        </w:rPr>
        <w:t>，</w:t>
      </w:r>
      <w:r>
        <w:rPr>
          <w:rFonts w:hint="eastAsia" w:eastAsia="仿宋"/>
          <w:color w:val="auto"/>
          <w:kern w:val="0"/>
          <w:szCs w:val="21"/>
          <w:highlight w:val="none"/>
          <w:u w:val="none"/>
          <w:lang w:val="en-US" w:eastAsia="zh-CN"/>
        </w:rPr>
        <w:t>ESI环境与生态期刊乘以系数1.2</w:t>
      </w:r>
      <w:r>
        <w:rPr>
          <w:rFonts w:hint="eastAsia" w:eastAsia="仿宋"/>
          <w:color w:val="auto"/>
          <w:kern w:val="0"/>
          <w:szCs w:val="21"/>
          <w:highlight w:val="none"/>
          <w:u w:val="none"/>
        </w:rPr>
        <w:t>。</w:t>
      </w:r>
    </w:p>
    <w:p w14:paraId="73FB8750">
      <w:pPr>
        <w:widowControl/>
        <w:spacing w:line="360" w:lineRule="exact"/>
        <w:rPr>
          <w:rFonts w:eastAsia="仿宋"/>
          <w:color w:val="auto"/>
          <w:kern w:val="0"/>
          <w:szCs w:val="21"/>
          <w:highlight w:val="none"/>
        </w:rPr>
      </w:pPr>
      <w:r>
        <w:rPr>
          <w:rFonts w:hint="eastAsia" w:eastAsia="仿宋"/>
          <w:strike w:val="0"/>
          <w:dstrike w:val="0"/>
          <w:color w:val="auto"/>
          <w:kern w:val="0"/>
          <w:szCs w:val="21"/>
          <w:highlight w:val="none"/>
          <w:lang w:eastAsia="zh-CN"/>
        </w:rPr>
        <w:t>（</w:t>
      </w:r>
      <w:r>
        <w:rPr>
          <w:rFonts w:hint="eastAsia" w:eastAsia="仿宋"/>
          <w:strike w:val="0"/>
          <w:dstrike w:val="0"/>
          <w:color w:val="auto"/>
          <w:kern w:val="0"/>
          <w:szCs w:val="21"/>
          <w:highlight w:val="none"/>
          <w:lang w:val="en-US" w:eastAsia="zh-CN"/>
        </w:rPr>
        <w:t>4</w:t>
      </w:r>
      <w:r>
        <w:rPr>
          <w:rFonts w:hint="eastAsia" w:eastAsia="仿宋"/>
          <w:strike w:val="0"/>
          <w:dstrike w:val="0"/>
          <w:color w:val="auto"/>
          <w:kern w:val="0"/>
          <w:szCs w:val="21"/>
          <w:highlight w:val="none"/>
          <w:lang w:eastAsia="zh-CN"/>
        </w:rPr>
        <w:t>）</w:t>
      </w:r>
      <w:r>
        <w:rPr>
          <w:rFonts w:hint="eastAsia" w:eastAsia="仿宋"/>
          <w:color w:val="auto"/>
          <w:kern w:val="0"/>
          <w:szCs w:val="21"/>
          <w:highlight w:val="none"/>
        </w:rPr>
        <w:t>学术论文和知识产权计分原则：若成果具备多重性质，以最高分计，不累计；</w:t>
      </w:r>
      <w:r>
        <w:rPr>
          <w:rFonts w:hint="eastAsia" w:eastAsia="仿宋"/>
          <w:color w:val="auto"/>
          <w:kern w:val="0"/>
          <w:szCs w:val="21"/>
          <w:highlight w:val="none"/>
          <w:lang w:val="en-US" w:eastAsia="zh-CN"/>
        </w:rPr>
        <w:t>以第一作者</w:t>
      </w:r>
      <w:r>
        <w:rPr>
          <w:rFonts w:hint="default" w:eastAsia="仿宋"/>
          <w:color w:val="auto"/>
          <w:kern w:val="0"/>
          <w:szCs w:val="21"/>
          <w:highlight w:val="none"/>
          <w:lang w:val="en-US" w:eastAsia="zh-CN"/>
        </w:rPr>
        <w:t>(</w:t>
      </w:r>
      <w:r>
        <w:rPr>
          <w:rFonts w:hint="eastAsia" w:eastAsia="仿宋"/>
          <w:color w:val="auto"/>
          <w:kern w:val="0"/>
          <w:szCs w:val="21"/>
          <w:highlight w:val="none"/>
          <w:lang w:val="en-US" w:eastAsia="zh-CN"/>
        </w:rPr>
        <w:t>仅指物理排位第一，不含共同第一作者</w:t>
      </w:r>
      <w:r>
        <w:rPr>
          <w:rFonts w:hint="default" w:eastAsia="仿宋"/>
          <w:color w:val="auto"/>
          <w:kern w:val="0"/>
          <w:szCs w:val="21"/>
          <w:highlight w:val="none"/>
          <w:lang w:val="en-US" w:eastAsia="zh-CN"/>
        </w:rPr>
        <w:t>)</w:t>
      </w:r>
      <w:r>
        <w:rPr>
          <w:rFonts w:hint="eastAsia" w:eastAsia="仿宋"/>
          <w:color w:val="auto"/>
          <w:kern w:val="0"/>
          <w:szCs w:val="21"/>
          <w:highlight w:val="none"/>
          <w:lang w:val="en-US" w:eastAsia="zh-CN"/>
        </w:rPr>
        <w:t>正式发表的学术论文，导师</w:t>
      </w:r>
      <w:r>
        <w:rPr>
          <w:rFonts w:hint="eastAsia" w:eastAsia="仿宋"/>
          <w:color w:val="auto"/>
          <w:kern w:val="0"/>
          <w:szCs w:val="21"/>
          <w:highlight w:val="none"/>
          <w:lang w:val="en-US" w:eastAsia="zh-CN"/>
        </w:rPr>
        <w:t xml:space="preserve">为第一作者且学生为第二作者的论文按 </w:t>
      </w:r>
      <w:r>
        <w:rPr>
          <w:rFonts w:hint="default" w:eastAsia="仿宋"/>
          <w:color w:val="auto"/>
          <w:kern w:val="0"/>
          <w:szCs w:val="21"/>
          <w:highlight w:val="none"/>
          <w:lang w:val="en-US" w:eastAsia="zh-CN"/>
        </w:rPr>
        <w:t>50%</w:t>
      </w:r>
      <w:r>
        <w:rPr>
          <w:rFonts w:hint="eastAsia" w:eastAsia="仿宋"/>
          <w:color w:val="auto"/>
          <w:kern w:val="0"/>
          <w:szCs w:val="21"/>
          <w:highlight w:val="none"/>
          <w:lang w:val="en-US" w:eastAsia="zh-CN"/>
        </w:rPr>
        <w:t>计，</w:t>
      </w:r>
      <w:r>
        <w:rPr>
          <w:rFonts w:hint="eastAsia" w:eastAsia="仿宋"/>
          <w:color w:val="auto"/>
          <w:kern w:val="0"/>
          <w:szCs w:val="21"/>
          <w:highlight w:val="none"/>
        </w:rPr>
        <w:t>成果须与学位论文研究内容相关；以常州大学为第一署名单位，若为SCI论文，同时须以常州大学为通讯作者单位（中外合作培养、联合培养除外）。导师限指常州大学研究生系统中登记的导师。</w:t>
      </w:r>
    </w:p>
    <w:p w14:paraId="00E590DD">
      <w:pPr>
        <w:widowControl/>
        <w:spacing w:line="360" w:lineRule="exact"/>
        <w:rPr>
          <w:rFonts w:hint="eastAsia" w:ascii="Times New Roman" w:hAnsi="Times New Roman" w:eastAsia="仿宋" w:cs="Times New Roman"/>
          <w:color w:val="auto"/>
          <w:kern w:val="0"/>
          <w:szCs w:val="21"/>
          <w:highlight w:val="none"/>
        </w:rPr>
      </w:pPr>
      <w:r>
        <w:rPr>
          <w:rFonts w:hint="eastAsia" w:eastAsia="仿宋"/>
          <w:color w:val="auto"/>
          <w:kern w:val="0"/>
          <w:szCs w:val="21"/>
          <w:highlight w:val="none"/>
          <w:lang w:eastAsia="zh-CN"/>
        </w:rPr>
        <w:t>（</w:t>
      </w:r>
      <w:r>
        <w:rPr>
          <w:rFonts w:hint="eastAsia" w:eastAsia="仿宋"/>
          <w:color w:val="auto"/>
          <w:kern w:val="0"/>
          <w:szCs w:val="21"/>
          <w:highlight w:val="none"/>
          <w:lang w:val="en-US" w:eastAsia="zh-CN"/>
        </w:rPr>
        <w:t>5</w:t>
      </w:r>
      <w:r>
        <w:rPr>
          <w:rFonts w:hint="eastAsia" w:eastAsia="仿宋"/>
          <w:color w:val="auto"/>
          <w:kern w:val="0"/>
          <w:szCs w:val="21"/>
          <w:highlight w:val="none"/>
          <w:lang w:eastAsia="zh-CN"/>
        </w:rPr>
        <w:t>）</w:t>
      </w:r>
      <w:r>
        <w:rPr>
          <w:rFonts w:hint="eastAsia" w:eastAsia="仿宋"/>
          <w:color w:val="auto"/>
          <w:kern w:val="0"/>
          <w:szCs w:val="21"/>
          <w:highlight w:val="none"/>
        </w:rPr>
        <w:t>C科研能力所取得成果认定根据学校相关部门科研评价政策的变化而相应调整</w:t>
      </w:r>
      <w:r>
        <w:rPr>
          <w:rFonts w:hint="eastAsia" w:eastAsia="仿宋"/>
          <w:color w:val="auto"/>
          <w:kern w:val="0"/>
          <w:szCs w:val="21"/>
          <w:highlight w:val="none"/>
          <w:lang w:eastAsia="zh-CN"/>
        </w:rPr>
        <w:t>，</w:t>
      </w:r>
      <w:r>
        <w:rPr>
          <w:rFonts w:hint="eastAsia" w:ascii="Times New Roman" w:hAnsi="Times New Roman" w:eastAsia="仿宋" w:cs="Times New Roman"/>
          <w:color w:val="auto"/>
          <w:kern w:val="0"/>
          <w:szCs w:val="21"/>
          <w:highlight w:val="none"/>
          <w:lang w:val="en-US" w:eastAsia="zh-CN"/>
        </w:rPr>
        <w:t>其中决策咨询类科研成果认定,参考《常州大学决策咨询类科研成果管理办法</w:t>
      </w:r>
      <w:r>
        <w:rPr>
          <w:rFonts w:hint="eastAsia" w:eastAsia="仿宋"/>
          <w:color w:val="auto"/>
          <w:kern w:val="0"/>
          <w:szCs w:val="21"/>
          <w:highlight w:val="none"/>
          <w:lang w:val="en-US" w:eastAsia="zh-CN"/>
        </w:rPr>
        <w:t>（修订）</w:t>
      </w:r>
      <w:r>
        <w:rPr>
          <w:rFonts w:hint="eastAsia" w:ascii="Times New Roman" w:hAnsi="Times New Roman" w:eastAsia="仿宋" w:cs="Times New Roman"/>
          <w:color w:val="auto"/>
          <w:kern w:val="0"/>
          <w:szCs w:val="21"/>
          <w:highlight w:val="none"/>
          <w:lang w:val="en-US" w:eastAsia="zh-CN"/>
        </w:rPr>
        <w:t>》</w:t>
      </w:r>
      <w:r>
        <w:rPr>
          <w:rFonts w:hint="eastAsia" w:ascii="仿宋_GB2312" w:hAnsi="Times New Roman" w:eastAsia="仿宋_GB2312" w:cs="Times New Roman"/>
          <w:color w:val="auto"/>
          <w:sz w:val="21"/>
          <w:szCs w:val="21"/>
          <w:highlight w:val="none"/>
          <w:lang w:val="en-US" w:eastAsia="zh-CN"/>
        </w:rPr>
        <w:t>（常大〔2025〕9号）</w:t>
      </w:r>
      <w:r>
        <w:rPr>
          <w:rFonts w:hint="eastAsia" w:ascii="Times New Roman" w:hAnsi="Times New Roman" w:eastAsia="仿宋" w:cs="Times New Roman"/>
          <w:color w:val="auto"/>
          <w:kern w:val="0"/>
          <w:szCs w:val="21"/>
          <w:highlight w:val="none"/>
          <w:lang w:val="en-US" w:eastAsia="zh-CN"/>
        </w:rPr>
        <w:t>，分别视为本文件相应等级的研究论文。</w:t>
      </w:r>
    </w:p>
    <w:p w14:paraId="287462A8">
      <w:pPr>
        <w:widowControl/>
        <w:spacing w:line="360" w:lineRule="exact"/>
        <w:rPr>
          <w:rFonts w:hint="eastAsia" w:eastAsia="仿宋"/>
          <w:color w:val="auto"/>
          <w:kern w:val="0"/>
          <w:szCs w:val="21"/>
          <w:highlight w:val="none"/>
          <w:lang w:val="en-US" w:eastAsia="zh-CN"/>
        </w:rPr>
      </w:pPr>
      <w:r>
        <w:rPr>
          <w:rFonts w:hint="eastAsia" w:eastAsia="仿宋"/>
          <w:color w:val="auto"/>
          <w:kern w:val="0"/>
          <w:szCs w:val="21"/>
          <w:highlight w:val="none"/>
          <w:lang w:val="en-US" w:eastAsia="zh-CN"/>
        </w:rPr>
        <w:t>（6）</w:t>
      </w:r>
      <w:r>
        <w:rPr>
          <w:rFonts w:hint="default" w:eastAsia="仿宋"/>
          <w:color w:val="auto"/>
          <w:kern w:val="0"/>
          <w:szCs w:val="21"/>
          <w:highlight w:val="none"/>
          <w:lang w:val="en-US" w:eastAsia="zh-CN"/>
        </w:rPr>
        <w:t>D</w:t>
      </w:r>
      <w:r>
        <w:rPr>
          <w:rFonts w:hint="eastAsia" w:eastAsia="仿宋"/>
          <w:color w:val="auto"/>
          <w:kern w:val="0"/>
          <w:szCs w:val="21"/>
          <w:highlight w:val="none"/>
          <w:lang w:val="en-US" w:eastAsia="zh-CN"/>
        </w:rPr>
        <w:t xml:space="preserve">实践能力中各类竞赛计分原则：多个作品参加同一项竞赛（国省）的同一组别，仅计 </w:t>
      </w:r>
      <w:r>
        <w:rPr>
          <w:rFonts w:hint="default" w:eastAsia="仿宋"/>
          <w:color w:val="auto"/>
          <w:kern w:val="0"/>
          <w:szCs w:val="21"/>
          <w:highlight w:val="none"/>
          <w:lang w:val="en-US" w:eastAsia="zh-CN"/>
        </w:rPr>
        <w:t xml:space="preserve">1 </w:t>
      </w:r>
      <w:r>
        <w:rPr>
          <w:rFonts w:hint="eastAsia" w:eastAsia="仿宋"/>
          <w:color w:val="auto"/>
          <w:kern w:val="0"/>
          <w:szCs w:val="21"/>
          <w:highlight w:val="none"/>
          <w:lang w:val="en-US" w:eastAsia="zh-CN"/>
        </w:rPr>
        <w:t xml:space="preserve">项（以最高分计），同一作品参加多项竞赛或同一竞赛的省级选拔赛和国家级决赛，仅计 </w:t>
      </w:r>
      <w:r>
        <w:rPr>
          <w:rFonts w:hint="default" w:eastAsia="仿宋"/>
          <w:color w:val="auto"/>
          <w:kern w:val="0"/>
          <w:szCs w:val="21"/>
          <w:highlight w:val="none"/>
          <w:lang w:val="en-US" w:eastAsia="zh-CN"/>
        </w:rPr>
        <w:t xml:space="preserve">1 </w:t>
      </w:r>
      <w:r>
        <w:rPr>
          <w:rFonts w:hint="eastAsia" w:eastAsia="仿宋"/>
          <w:color w:val="auto"/>
          <w:kern w:val="0"/>
          <w:szCs w:val="21"/>
          <w:highlight w:val="none"/>
          <w:lang w:val="en-US" w:eastAsia="zh-CN"/>
        </w:rPr>
        <w:t xml:space="preserve">项（以最高分计）。 </w:t>
      </w:r>
    </w:p>
    <w:p w14:paraId="7BF6EC9A">
      <w:pPr>
        <w:widowControl/>
        <w:spacing w:line="360" w:lineRule="exact"/>
        <w:rPr>
          <w:rFonts w:hint="eastAsia" w:eastAsia="仿宋"/>
          <w:color w:val="auto"/>
          <w:kern w:val="0"/>
          <w:szCs w:val="21"/>
          <w:highlight w:val="none"/>
          <w:lang w:val="en-US" w:eastAsia="zh-CN"/>
        </w:rPr>
      </w:pPr>
      <w:r>
        <w:rPr>
          <w:rFonts w:hint="eastAsia" w:eastAsia="仿宋"/>
          <w:strike w:val="0"/>
          <w:dstrike w:val="0"/>
          <w:color w:val="auto"/>
          <w:kern w:val="0"/>
          <w:szCs w:val="21"/>
          <w:highlight w:val="none"/>
          <w:lang w:eastAsia="zh-CN"/>
        </w:rPr>
        <w:t>（</w:t>
      </w:r>
      <w:r>
        <w:rPr>
          <w:rFonts w:hint="eastAsia" w:eastAsia="仿宋"/>
          <w:strike w:val="0"/>
          <w:dstrike w:val="0"/>
          <w:color w:val="auto"/>
          <w:kern w:val="0"/>
          <w:szCs w:val="21"/>
          <w:highlight w:val="none"/>
          <w:lang w:val="en-US" w:eastAsia="zh-CN"/>
        </w:rPr>
        <w:t>7</w:t>
      </w:r>
      <w:r>
        <w:rPr>
          <w:rFonts w:hint="eastAsia" w:eastAsia="仿宋"/>
          <w:strike w:val="0"/>
          <w:dstrike w:val="0"/>
          <w:color w:val="auto"/>
          <w:kern w:val="0"/>
          <w:szCs w:val="21"/>
          <w:highlight w:val="none"/>
          <w:lang w:eastAsia="zh-CN"/>
        </w:rPr>
        <w:t>）</w:t>
      </w:r>
      <w:r>
        <w:rPr>
          <w:rFonts w:hint="eastAsia" w:eastAsia="仿宋"/>
          <w:color w:val="auto"/>
          <w:kern w:val="0"/>
          <w:szCs w:val="21"/>
          <w:highlight w:val="none"/>
          <w:lang w:val="en-US" w:eastAsia="zh-CN"/>
        </w:rPr>
        <w:t xml:space="preserve"> B学业成绩中中期考核等级以学院考核为准，中期考核不合格者或者未参加中期考核者，没有参评资格。在参评学年，研究生必修课不及格且补考或重修仍未通过者，没有参评资格。</w:t>
      </w:r>
    </w:p>
    <w:p w14:paraId="4202ADB6">
      <w:pPr>
        <w:keepNext w:val="0"/>
        <w:keepLines w:val="0"/>
        <w:widowControl/>
        <w:numPr>
          <w:ilvl w:val="0"/>
          <w:numId w:val="0"/>
        </w:numPr>
        <w:suppressLineNumbers w:val="0"/>
        <w:jc w:val="left"/>
        <w:rPr>
          <w:rFonts w:hint="eastAsia" w:eastAsia="仿宋_GB2312"/>
          <w:color w:val="auto"/>
          <w:szCs w:val="21"/>
          <w:highlight w:val="none"/>
        </w:rPr>
      </w:pPr>
      <w:r>
        <w:rPr>
          <w:rFonts w:hint="eastAsia" w:eastAsia="仿宋"/>
          <w:strike w:val="0"/>
          <w:dstrike w:val="0"/>
          <w:color w:val="auto"/>
          <w:kern w:val="0"/>
          <w:szCs w:val="21"/>
          <w:highlight w:val="none"/>
          <w:lang w:eastAsia="zh-CN"/>
        </w:rPr>
        <w:t>（</w:t>
      </w:r>
      <w:r>
        <w:rPr>
          <w:rFonts w:hint="eastAsia" w:eastAsia="仿宋"/>
          <w:strike w:val="0"/>
          <w:dstrike w:val="0"/>
          <w:color w:val="auto"/>
          <w:kern w:val="0"/>
          <w:szCs w:val="21"/>
          <w:highlight w:val="none"/>
          <w:lang w:val="en-US" w:eastAsia="zh-CN"/>
        </w:rPr>
        <w:t>8</w:t>
      </w:r>
      <w:r>
        <w:rPr>
          <w:rFonts w:hint="eastAsia" w:eastAsia="仿宋"/>
          <w:strike w:val="0"/>
          <w:dstrike w:val="0"/>
          <w:color w:val="auto"/>
          <w:kern w:val="0"/>
          <w:szCs w:val="21"/>
          <w:highlight w:val="none"/>
          <w:lang w:eastAsia="zh-CN"/>
        </w:rPr>
        <w:t>）</w:t>
      </w:r>
      <w:r>
        <w:rPr>
          <w:rFonts w:hint="eastAsia" w:eastAsia="仿宋"/>
          <w:color w:val="auto"/>
          <w:kern w:val="0"/>
          <w:szCs w:val="21"/>
          <w:highlight w:val="none"/>
          <w:lang w:val="en-US" w:eastAsia="zh-CN"/>
        </w:rPr>
        <w:t>学院应加强成果公开公示，须提供所有参评学生本细则中涉及的所有成果汇总。在总分相同的情况下，</w:t>
      </w:r>
      <w:r>
        <w:rPr>
          <w:rFonts w:hint="default" w:eastAsia="仿宋"/>
          <w:color w:val="auto"/>
          <w:kern w:val="0"/>
          <w:szCs w:val="21"/>
          <w:highlight w:val="none"/>
          <w:lang w:val="en-US" w:eastAsia="zh-CN"/>
        </w:rPr>
        <w:t xml:space="preserve">C </w:t>
      </w:r>
      <w:r>
        <w:rPr>
          <w:rFonts w:hint="eastAsia" w:eastAsia="仿宋"/>
          <w:color w:val="auto"/>
          <w:kern w:val="0"/>
          <w:szCs w:val="21"/>
          <w:highlight w:val="none"/>
          <w:lang w:val="en-US" w:eastAsia="zh-CN"/>
        </w:rPr>
        <w:t>项得分高者优先。</w:t>
      </w:r>
      <w:r>
        <w:rPr>
          <w:rFonts w:hint="eastAsia" w:eastAsia="仿宋"/>
          <w:color w:val="auto"/>
          <w:kern w:val="0"/>
          <w:szCs w:val="21"/>
          <w:highlight w:val="none"/>
        </w:rPr>
        <w:t>A2项≤6分不得参评学业奖学金；综合评定分≤10分</w:t>
      </w:r>
      <w:r>
        <w:rPr>
          <w:rFonts w:hint="eastAsia" w:eastAsia="仿宋"/>
          <w:color w:val="auto"/>
          <w:kern w:val="0"/>
          <w:szCs w:val="21"/>
          <w:highlight w:val="none"/>
          <w:lang w:eastAsia="zh-CN"/>
        </w:rPr>
        <w:t>，</w:t>
      </w:r>
      <w:r>
        <w:rPr>
          <w:rFonts w:hint="eastAsia" w:eastAsia="仿宋"/>
          <w:color w:val="auto"/>
          <w:kern w:val="0"/>
          <w:szCs w:val="21"/>
          <w:highlight w:val="none"/>
          <w:lang w:val="en-US" w:eastAsia="zh-CN"/>
        </w:rPr>
        <w:t>硕士研究生</w:t>
      </w:r>
      <w:r>
        <w:rPr>
          <w:rFonts w:hint="eastAsia" w:eastAsia="仿宋"/>
          <w:color w:val="auto"/>
          <w:kern w:val="0"/>
          <w:szCs w:val="21"/>
          <w:highlight w:val="none"/>
        </w:rPr>
        <w:t>不得参评二等及以上学业奖学金，综合评定分≤20分</w:t>
      </w:r>
      <w:r>
        <w:rPr>
          <w:rFonts w:hint="eastAsia" w:eastAsia="仿宋"/>
          <w:color w:val="auto"/>
          <w:kern w:val="0"/>
          <w:szCs w:val="21"/>
          <w:highlight w:val="none"/>
          <w:lang w:eastAsia="zh-CN"/>
        </w:rPr>
        <w:t>，</w:t>
      </w:r>
      <w:r>
        <w:rPr>
          <w:rFonts w:hint="eastAsia" w:eastAsia="仿宋"/>
          <w:color w:val="auto"/>
          <w:kern w:val="0"/>
          <w:szCs w:val="21"/>
          <w:highlight w:val="none"/>
          <w:lang w:val="en-US" w:eastAsia="zh-CN"/>
        </w:rPr>
        <w:t>博士研究生和硕士研究生均</w:t>
      </w:r>
      <w:r>
        <w:rPr>
          <w:rFonts w:hint="eastAsia" w:eastAsia="仿宋"/>
          <w:color w:val="auto"/>
          <w:kern w:val="0"/>
          <w:szCs w:val="21"/>
          <w:highlight w:val="none"/>
        </w:rPr>
        <w:t>不得参评一等学业奖学金。</w:t>
      </w:r>
    </w:p>
    <w:p w14:paraId="3F806D78">
      <w:pPr>
        <w:pStyle w:val="22"/>
        <w:spacing w:line="400" w:lineRule="exact"/>
        <w:jc w:val="left"/>
        <w:rPr>
          <w:rFonts w:hint="eastAsia" w:eastAsia="仿宋"/>
          <w:color w:val="auto"/>
          <w:kern w:val="0"/>
          <w:szCs w:val="21"/>
          <w:highlight w:val="none"/>
          <w:lang w:val="en-US" w:eastAsia="zh-CN"/>
        </w:rPr>
      </w:pPr>
      <w:r>
        <w:rPr>
          <w:rFonts w:hint="eastAsia" w:eastAsia="仿宋_GB2312"/>
          <w:color w:val="auto"/>
          <w:szCs w:val="21"/>
          <w:highlight w:val="none"/>
          <w:lang w:eastAsia="zh-CN"/>
        </w:rPr>
        <w:t>（</w:t>
      </w:r>
      <w:r>
        <w:rPr>
          <w:rFonts w:hint="eastAsia" w:eastAsia="仿宋_GB2312"/>
          <w:color w:val="auto"/>
          <w:szCs w:val="21"/>
          <w:highlight w:val="none"/>
          <w:lang w:val="en-US" w:eastAsia="zh-CN"/>
        </w:rPr>
        <w:t>9</w:t>
      </w:r>
      <w:r>
        <w:rPr>
          <w:rFonts w:hint="eastAsia" w:eastAsia="仿宋_GB2312"/>
          <w:color w:val="auto"/>
          <w:szCs w:val="21"/>
          <w:highlight w:val="none"/>
          <w:lang w:eastAsia="zh-CN"/>
        </w:rPr>
        <w:t>）</w:t>
      </w:r>
      <w:r>
        <w:rPr>
          <w:rFonts w:hint="eastAsia" w:eastAsia="仿宋"/>
          <w:color w:val="auto"/>
          <w:kern w:val="0"/>
          <w:szCs w:val="21"/>
          <w:highlight w:val="none"/>
          <w:lang w:val="en-US" w:eastAsia="zh-CN"/>
        </w:rPr>
        <w:t>研究生国家奖学金申请者所取得成果认定时间由学院根据实际情况制定，涉及竞争性指标的成果认定时间由学校制定；未获过研究生国家奖学金的申请者，所取得成果认定时间为入学时间至当年学校发布评奖评优通知之日；本学段内已获研究生国家奖学金、再次申请者，所取得成果认定时间为上一次参评后算起。研究生国家奖学金和学业奖学金荣誉可兼得，奖金就高发放。</w:t>
      </w:r>
    </w:p>
    <w:p w14:paraId="13123EE9">
      <w:pPr>
        <w:pStyle w:val="6"/>
        <w:widowControl/>
        <w:spacing w:line="400" w:lineRule="exact"/>
        <w:jc w:val="left"/>
        <w:rPr>
          <w:rFonts w:hint="eastAsia" w:ascii="Times New Roman" w:hAnsi="Times New Roman" w:eastAsia="仿宋" w:cs="Times New Roman"/>
          <w:color w:val="auto"/>
          <w:kern w:val="0"/>
          <w:sz w:val="21"/>
          <w:szCs w:val="21"/>
          <w:highlight w:val="none"/>
          <w:lang w:val="en-US" w:eastAsia="zh-CN" w:bidi="ar-SA"/>
        </w:rPr>
      </w:pPr>
      <w:r>
        <w:rPr>
          <w:rFonts w:hint="eastAsia" w:ascii="Times New Roman" w:hAnsi="Times New Roman" w:eastAsia="仿宋" w:cs="Times New Roman"/>
          <w:color w:val="auto"/>
          <w:kern w:val="0"/>
          <w:sz w:val="21"/>
          <w:szCs w:val="21"/>
          <w:highlight w:val="none"/>
          <w:lang w:val="en-US" w:eastAsia="zh-CN" w:bidi="ar-SA"/>
        </w:rPr>
        <w:t>（10）2026年校内单项奖设有优秀研究生、优秀研究生干部和优秀毕业研究生</w:t>
      </w:r>
      <w:r>
        <w:rPr>
          <w:rFonts w:hint="eastAsia" w:ascii="Times New Roman" w:hAnsi="Times New Roman" w:eastAsia="仿宋" w:cs="Times New Roman"/>
          <w:color w:val="auto"/>
          <w:kern w:val="0"/>
          <w:sz w:val="21"/>
          <w:szCs w:val="21"/>
          <w:highlight w:val="none"/>
          <w:lang w:val="en-US" w:eastAsia="zh-CN" w:bidi="ar-SA"/>
        </w:rPr>
        <w:t>。</w:t>
      </w:r>
    </w:p>
    <w:p w14:paraId="63EB870A">
      <w:pPr>
        <w:pStyle w:val="6"/>
        <w:keepNext w:val="0"/>
        <w:keepLines w:val="0"/>
        <w:widowControl w:val="0"/>
        <w:suppressLineNumbers w:val="0"/>
        <w:spacing w:before="0" w:beforeAutospacing="0" w:after="0" w:afterAutospacing="0" w:line="400" w:lineRule="exact"/>
        <w:ind w:right="0"/>
        <w:jc w:val="both"/>
        <w:rPr>
          <w:rFonts w:hint="eastAsia" w:ascii="Times New Roman" w:hAnsi="Times New Roman" w:eastAsia="仿宋" w:cs="Times New Roman"/>
          <w:color w:val="auto"/>
          <w:kern w:val="0"/>
          <w:sz w:val="21"/>
          <w:szCs w:val="21"/>
          <w:highlight w:val="none"/>
          <w:lang w:val="en-US" w:eastAsia="zh-CN" w:bidi="ar-SA"/>
        </w:rPr>
      </w:pPr>
      <w:r>
        <w:rPr>
          <w:rFonts w:hint="eastAsia" w:ascii="Times New Roman" w:hAnsi="Times New Roman" w:eastAsia="仿宋" w:cs="Times New Roman"/>
          <w:color w:val="auto"/>
          <w:kern w:val="0"/>
          <w:sz w:val="21"/>
          <w:szCs w:val="21"/>
          <w:highlight w:val="none"/>
          <w:lang w:val="en-US" w:eastAsia="zh-CN" w:bidi="ar-SA"/>
        </w:rPr>
        <w:t>(11)本细则自印发之日起执行，原《常州大学研究生综合评定指导性量化细则》(常大学〔2025〕5号)自行废止。本办法由学生处和各学院负责解释。</w:t>
      </w:r>
    </w:p>
    <w:p w14:paraId="556B68A6">
      <w:pPr>
        <w:pageBreakBefore/>
        <w:widowControl/>
        <w:spacing w:line="360" w:lineRule="exact"/>
        <w:rPr>
          <w:rFonts w:ascii="宋体" w:hAnsi="宋体" w:cs="宋体"/>
          <w:b/>
          <w:bCs/>
          <w:kern w:val="0"/>
          <w:sz w:val="24"/>
        </w:rPr>
      </w:pPr>
      <w:r>
        <w:rPr>
          <w:rFonts w:hint="eastAsia" w:ascii="仿宋_GB2312" w:hAnsi="宋体" w:eastAsia="仿宋_GB2312"/>
          <w:b/>
          <w:bCs/>
          <w:sz w:val="24"/>
        </w:rPr>
        <w:t>附表（A</w:t>
      </w:r>
      <w:r>
        <w:rPr>
          <w:rFonts w:ascii="仿宋_GB2312" w:hAnsi="宋体" w:eastAsia="仿宋_GB2312"/>
          <w:b/>
          <w:bCs/>
          <w:sz w:val="24"/>
        </w:rPr>
        <w:t>26</w:t>
      </w:r>
      <w:r>
        <w:rPr>
          <w:rFonts w:hint="eastAsia" w:ascii="仿宋_GB2312" w:hAnsi="宋体" w:eastAsia="仿宋_GB2312"/>
          <w:b/>
          <w:bCs/>
          <w:sz w:val="24"/>
        </w:rPr>
        <w:t>项）：</w:t>
      </w:r>
    </w:p>
    <w:p w14:paraId="2ED20DB5">
      <w:pPr>
        <w:adjustRightInd w:val="0"/>
        <w:snapToGrid w:val="0"/>
        <w:spacing w:line="400" w:lineRule="exact"/>
        <w:rPr>
          <w:rFonts w:ascii="仿宋_GB2312" w:hAnsi="宋体" w:eastAsia="仿宋_GB2312"/>
          <w:b/>
          <w:sz w:val="28"/>
          <w:szCs w:val="28"/>
        </w:rPr>
      </w:pPr>
    </w:p>
    <w:p w14:paraId="7176A3C9">
      <w:pPr>
        <w:adjustRightInd w:val="0"/>
        <w:snapToGrid w:val="0"/>
        <w:spacing w:line="400" w:lineRule="exact"/>
        <w:jc w:val="center"/>
        <w:rPr>
          <w:rFonts w:ascii="仿宋_GB2312" w:hAnsi="宋体" w:eastAsia="仿宋_GB2312"/>
          <w:sz w:val="28"/>
          <w:szCs w:val="28"/>
        </w:rPr>
      </w:pPr>
      <w:r>
        <w:rPr>
          <w:rFonts w:hint="eastAsia" w:ascii="仿宋_GB2312" w:hAnsi="宋体" w:eastAsia="仿宋_GB2312"/>
          <w:b/>
          <w:sz w:val="28"/>
          <w:szCs w:val="28"/>
        </w:rPr>
        <w:t>常州大学研究生德育素质测评参考表</w:t>
      </w:r>
    </w:p>
    <w:p w14:paraId="490AE4CA">
      <w:pPr>
        <w:rPr>
          <w:b/>
          <w:bCs/>
        </w:rPr>
      </w:pPr>
    </w:p>
    <w:tbl>
      <w:tblPr>
        <w:tblStyle w:val="8"/>
        <w:tblpPr w:leftFromText="180" w:rightFromText="180" w:vertAnchor="page" w:horzAnchor="page" w:tblpX="1191" w:tblpY="31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5"/>
        <w:gridCol w:w="4245"/>
        <w:gridCol w:w="4253"/>
        <w:gridCol w:w="3260"/>
        <w:gridCol w:w="1701"/>
      </w:tblGrid>
      <w:tr w14:paraId="62335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995" w:type="dxa"/>
            <w:vMerge w:val="restart"/>
            <w:tcBorders>
              <w:top w:val="single" w:color="auto" w:sz="4" w:space="0"/>
              <w:left w:val="single" w:color="auto" w:sz="4" w:space="0"/>
              <w:tl2br w:val="single" w:color="auto" w:sz="4" w:space="0"/>
            </w:tcBorders>
          </w:tcPr>
          <w:p w14:paraId="421852BE">
            <w:pPr>
              <w:keepNext w:val="0"/>
              <w:keepLines w:val="0"/>
              <w:suppressLineNumbers w:val="0"/>
              <w:adjustRightInd w:val="0"/>
              <w:snapToGrid w:val="0"/>
              <w:spacing w:before="0" w:beforeAutospacing="0" w:after="0" w:afterAutospacing="0"/>
              <w:ind w:left="0" w:right="0"/>
              <w:jc w:val="center"/>
              <w:rPr>
                <w:rFonts w:hint="default" w:ascii="仿宋_GB2312" w:hAnsi="仿宋" w:eastAsia="仿宋_GB2312"/>
                <w:sz w:val="24"/>
              </w:rPr>
            </w:pPr>
            <w:r>
              <w:rPr>
                <w:rFonts w:hint="eastAsia" w:ascii="仿宋_GB2312" w:hAnsi="仿宋" w:eastAsia="仿宋_GB2312"/>
                <w:sz w:val="24"/>
              </w:rPr>
              <w:t xml:space="preserve"> 表现</w:t>
            </w:r>
          </w:p>
          <w:p w14:paraId="7B8C6463">
            <w:pPr>
              <w:keepNext w:val="0"/>
              <w:keepLines w:val="0"/>
              <w:suppressLineNumbers w:val="0"/>
              <w:adjustRightInd w:val="0"/>
              <w:snapToGrid w:val="0"/>
              <w:spacing w:before="0" w:beforeAutospacing="0" w:after="0" w:afterAutospacing="0"/>
              <w:ind w:left="0" w:right="0"/>
              <w:rPr>
                <w:rFonts w:hint="default" w:ascii="仿宋" w:hAnsi="仿宋" w:eastAsia="仿宋"/>
                <w:sz w:val="24"/>
              </w:rPr>
            </w:pPr>
            <w:r>
              <w:rPr>
                <w:rFonts w:hint="eastAsia" w:ascii="仿宋_GB2312" w:hAnsi="仿宋" w:eastAsia="仿宋_GB2312"/>
                <w:sz w:val="24"/>
              </w:rPr>
              <w:t>项目</w:t>
            </w:r>
          </w:p>
        </w:tc>
        <w:tc>
          <w:tcPr>
            <w:tcW w:w="4245" w:type="dxa"/>
            <w:tcBorders>
              <w:top w:val="single" w:color="auto" w:sz="4" w:space="0"/>
            </w:tcBorders>
            <w:vAlign w:val="center"/>
          </w:tcPr>
          <w:p w14:paraId="6C278EC4">
            <w:pPr>
              <w:keepNext w:val="0"/>
              <w:keepLines w:val="0"/>
              <w:suppressLineNumbers w:val="0"/>
              <w:adjustRightInd w:val="0"/>
              <w:snapToGrid w:val="0"/>
              <w:spacing w:before="0" w:beforeAutospacing="0" w:after="0" w:afterAutospacing="0"/>
              <w:ind w:left="0" w:right="0"/>
              <w:jc w:val="center"/>
              <w:rPr>
                <w:rFonts w:hint="default" w:ascii="仿宋_GB2312" w:hAnsi="仿宋" w:eastAsia="仿宋_GB2312"/>
                <w:szCs w:val="21"/>
              </w:rPr>
            </w:pPr>
            <w:r>
              <w:rPr>
                <w:rFonts w:hint="eastAsia" w:ascii="仿宋_GB2312" w:hAnsi="仿宋" w:eastAsia="仿宋_GB2312"/>
                <w:szCs w:val="21"/>
              </w:rPr>
              <w:t>A（21-25分）</w:t>
            </w:r>
          </w:p>
        </w:tc>
        <w:tc>
          <w:tcPr>
            <w:tcW w:w="4253" w:type="dxa"/>
            <w:tcBorders>
              <w:top w:val="single" w:color="auto" w:sz="4" w:space="0"/>
            </w:tcBorders>
            <w:vAlign w:val="center"/>
          </w:tcPr>
          <w:p w14:paraId="5023A31A">
            <w:pPr>
              <w:keepNext w:val="0"/>
              <w:keepLines w:val="0"/>
              <w:suppressLineNumbers w:val="0"/>
              <w:adjustRightInd w:val="0"/>
              <w:snapToGrid w:val="0"/>
              <w:spacing w:before="0" w:beforeAutospacing="0" w:after="0" w:afterAutospacing="0"/>
              <w:ind w:left="0" w:right="0"/>
              <w:jc w:val="center"/>
              <w:rPr>
                <w:rFonts w:hint="default" w:ascii="仿宋_GB2312" w:hAnsi="仿宋" w:eastAsia="仿宋_GB2312"/>
                <w:szCs w:val="21"/>
              </w:rPr>
            </w:pPr>
            <w:r>
              <w:rPr>
                <w:rFonts w:hint="eastAsia" w:ascii="仿宋_GB2312" w:hAnsi="仿宋" w:eastAsia="仿宋_GB2312"/>
                <w:szCs w:val="21"/>
              </w:rPr>
              <w:t>B（16-20分）</w:t>
            </w:r>
          </w:p>
        </w:tc>
        <w:tc>
          <w:tcPr>
            <w:tcW w:w="3260" w:type="dxa"/>
            <w:tcBorders>
              <w:top w:val="single" w:color="auto" w:sz="4" w:space="0"/>
              <w:right w:val="single" w:color="auto" w:sz="4" w:space="0"/>
            </w:tcBorders>
            <w:vAlign w:val="center"/>
          </w:tcPr>
          <w:p w14:paraId="6B6EF95B">
            <w:pPr>
              <w:keepNext w:val="0"/>
              <w:keepLines w:val="0"/>
              <w:suppressLineNumbers w:val="0"/>
              <w:adjustRightInd w:val="0"/>
              <w:snapToGrid w:val="0"/>
              <w:spacing w:before="0" w:beforeAutospacing="0" w:after="0" w:afterAutospacing="0"/>
              <w:ind w:left="0" w:right="0"/>
              <w:jc w:val="center"/>
              <w:rPr>
                <w:rFonts w:hint="default" w:ascii="仿宋_GB2312" w:hAnsi="仿宋" w:eastAsia="仿宋_GB2312"/>
                <w:szCs w:val="21"/>
              </w:rPr>
            </w:pPr>
            <w:r>
              <w:rPr>
                <w:rFonts w:hint="eastAsia" w:ascii="仿宋_GB2312" w:hAnsi="仿宋" w:eastAsia="仿宋_GB2312"/>
                <w:szCs w:val="21"/>
              </w:rPr>
              <w:t>C（0-15分）</w:t>
            </w:r>
          </w:p>
        </w:tc>
        <w:tc>
          <w:tcPr>
            <w:tcW w:w="1701" w:type="dxa"/>
            <w:vMerge w:val="restart"/>
            <w:tcBorders>
              <w:top w:val="single" w:color="auto" w:sz="4" w:space="0"/>
              <w:left w:val="single" w:color="auto" w:sz="4" w:space="0"/>
            </w:tcBorders>
            <w:shd w:val="clear" w:color="auto" w:fill="auto"/>
            <w:vAlign w:val="center"/>
          </w:tcPr>
          <w:p w14:paraId="3A5C1927">
            <w:pPr>
              <w:keepNext w:val="0"/>
              <w:keepLines w:val="0"/>
              <w:suppressLineNumbers w:val="0"/>
              <w:adjustRightInd w:val="0"/>
              <w:snapToGrid w:val="0"/>
              <w:spacing w:before="0" w:beforeAutospacing="0" w:after="0" w:afterAutospacing="0"/>
              <w:ind w:left="0" w:right="0" w:firstLine="420" w:firstLineChars="200"/>
              <w:jc w:val="left"/>
              <w:rPr>
                <w:rFonts w:hint="default" w:ascii="仿宋_GB2312" w:hAnsi="仿宋" w:eastAsia="仿宋_GB2312"/>
                <w:szCs w:val="21"/>
              </w:rPr>
            </w:pPr>
            <w:r>
              <w:rPr>
                <w:rFonts w:hint="eastAsia" w:ascii="仿宋_GB2312" w:hAnsi="仿宋" w:eastAsia="仿宋_GB2312"/>
                <w:szCs w:val="21"/>
              </w:rPr>
              <w:t>得  分</w:t>
            </w:r>
          </w:p>
        </w:tc>
      </w:tr>
      <w:tr w14:paraId="3F4DC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trPr>
        <w:tc>
          <w:tcPr>
            <w:tcW w:w="995" w:type="dxa"/>
            <w:vMerge w:val="continue"/>
            <w:tcBorders>
              <w:left w:val="single" w:color="auto" w:sz="4" w:space="0"/>
            </w:tcBorders>
            <w:textDirection w:val="tbRlV"/>
            <w:vAlign w:val="bottom"/>
          </w:tcPr>
          <w:p w14:paraId="57A6F7CB">
            <w:pPr>
              <w:keepNext w:val="0"/>
              <w:keepLines w:val="0"/>
              <w:suppressLineNumbers w:val="0"/>
              <w:adjustRightInd w:val="0"/>
              <w:snapToGrid w:val="0"/>
              <w:spacing w:before="0" w:beforeAutospacing="0" w:after="0" w:afterAutospacing="0"/>
              <w:ind w:left="113" w:right="113"/>
              <w:jc w:val="center"/>
              <w:rPr>
                <w:rFonts w:hint="default" w:ascii="仿宋" w:hAnsi="仿宋" w:eastAsia="仿宋"/>
                <w:sz w:val="24"/>
              </w:rPr>
            </w:pPr>
          </w:p>
        </w:tc>
        <w:tc>
          <w:tcPr>
            <w:tcW w:w="4245" w:type="dxa"/>
          </w:tcPr>
          <w:p w14:paraId="3874666D">
            <w:pPr>
              <w:keepNext w:val="0"/>
              <w:keepLines w:val="0"/>
              <w:suppressLineNumbers w:val="0"/>
              <w:adjustRightInd w:val="0"/>
              <w:snapToGrid w:val="0"/>
              <w:spacing w:before="0" w:beforeAutospacing="0" w:after="0" w:afterAutospacing="0"/>
              <w:ind w:left="0" w:right="0"/>
              <w:jc w:val="center"/>
              <w:rPr>
                <w:rFonts w:hint="default" w:ascii="仿宋_GB2312" w:hAnsi="仿宋" w:eastAsia="仿宋_GB2312"/>
                <w:szCs w:val="21"/>
              </w:rPr>
            </w:pPr>
            <w:r>
              <w:rPr>
                <w:rFonts w:hint="eastAsia" w:ascii="仿宋_GB2312" w:hAnsi="仿宋" w:eastAsia="仿宋_GB2312"/>
                <w:szCs w:val="21"/>
              </w:rPr>
              <w:t>表  现</w:t>
            </w:r>
          </w:p>
        </w:tc>
        <w:tc>
          <w:tcPr>
            <w:tcW w:w="4253" w:type="dxa"/>
          </w:tcPr>
          <w:p w14:paraId="0BCAE5B9">
            <w:pPr>
              <w:keepNext w:val="0"/>
              <w:keepLines w:val="0"/>
              <w:suppressLineNumbers w:val="0"/>
              <w:adjustRightInd w:val="0"/>
              <w:snapToGrid w:val="0"/>
              <w:spacing w:before="0" w:beforeAutospacing="0" w:after="0" w:afterAutospacing="0"/>
              <w:ind w:left="0" w:right="0"/>
              <w:jc w:val="center"/>
              <w:rPr>
                <w:rFonts w:hint="default" w:ascii="仿宋_GB2312" w:hAnsi="仿宋" w:eastAsia="仿宋_GB2312"/>
                <w:szCs w:val="21"/>
              </w:rPr>
            </w:pPr>
            <w:r>
              <w:rPr>
                <w:rFonts w:hint="eastAsia" w:ascii="仿宋_GB2312" w:hAnsi="仿宋" w:eastAsia="仿宋_GB2312"/>
                <w:szCs w:val="21"/>
              </w:rPr>
              <w:t>表  现</w:t>
            </w:r>
          </w:p>
        </w:tc>
        <w:tc>
          <w:tcPr>
            <w:tcW w:w="3260" w:type="dxa"/>
            <w:tcBorders>
              <w:right w:val="single" w:color="auto" w:sz="4" w:space="0"/>
            </w:tcBorders>
          </w:tcPr>
          <w:p w14:paraId="0C31C791">
            <w:pPr>
              <w:keepNext w:val="0"/>
              <w:keepLines w:val="0"/>
              <w:suppressLineNumbers w:val="0"/>
              <w:adjustRightInd w:val="0"/>
              <w:snapToGrid w:val="0"/>
              <w:spacing w:before="0" w:beforeAutospacing="0" w:after="0" w:afterAutospacing="0"/>
              <w:ind w:left="0" w:right="0"/>
              <w:jc w:val="center"/>
              <w:rPr>
                <w:rFonts w:hint="default" w:ascii="仿宋_GB2312" w:hAnsi="仿宋" w:eastAsia="仿宋_GB2312"/>
                <w:szCs w:val="21"/>
              </w:rPr>
            </w:pPr>
            <w:r>
              <w:rPr>
                <w:rFonts w:hint="eastAsia" w:ascii="仿宋_GB2312" w:hAnsi="仿宋" w:eastAsia="仿宋_GB2312"/>
                <w:szCs w:val="21"/>
              </w:rPr>
              <w:t>表  现</w:t>
            </w:r>
          </w:p>
        </w:tc>
        <w:tc>
          <w:tcPr>
            <w:tcW w:w="1701" w:type="dxa"/>
            <w:vMerge w:val="continue"/>
            <w:tcBorders>
              <w:left w:val="single" w:color="auto" w:sz="4" w:space="0"/>
            </w:tcBorders>
            <w:shd w:val="clear" w:color="auto" w:fill="auto"/>
          </w:tcPr>
          <w:p w14:paraId="1EC1CFFD">
            <w:pPr>
              <w:keepNext w:val="0"/>
              <w:keepLines w:val="0"/>
              <w:widowControl/>
              <w:suppressLineNumbers w:val="0"/>
              <w:adjustRightInd w:val="0"/>
              <w:snapToGrid w:val="0"/>
              <w:spacing w:before="0" w:beforeAutospacing="0" w:after="0" w:afterAutospacing="0"/>
              <w:ind w:left="0" w:right="0"/>
              <w:jc w:val="left"/>
              <w:rPr>
                <w:rFonts w:hint="default" w:ascii="仿宋_GB2312" w:hAnsi="仿宋" w:eastAsia="仿宋_GB2312"/>
                <w:szCs w:val="21"/>
              </w:rPr>
            </w:pPr>
          </w:p>
        </w:tc>
      </w:tr>
      <w:tr w14:paraId="33AD1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5" w:hRule="atLeast"/>
        </w:trPr>
        <w:tc>
          <w:tcPr>
            <w:tcW w:w="995" w:type="dxa"/>
            <w:tcBorders>
              <w:left w:val="single" w:color="auto" w:sz="4" w:space="0"/>
            </w:tcBorders>
            <w:textDirection w:val="tbRlV"/>
            <w:vAlign w:val="center"/>
          </w:tcPr>
          <w:p w14:paraId="6A224C5A">
            <w:pPr>
              <w:keepNext w:val="0"/>
              <w:keepLines w:val="0"/>
              <w:suppressLineNumbers w:val="0"/>
              <w:adjustRightInd w:val="0"/>
              <w:snapToGrid w:val="0"/>
              <w:spacing w:before="0" w:beforeAutospacing="0" w:after="0" w:afterAutospacing="0"/>
              <w:ind w:left="113" w:right="113"/>
              <w:jc w:val="center"/>
              <w:rPr>
                <w:rFonts w:hint="default" w:ascii="仿宋_GB2312" w:hAnsi="仿宋" w:eastAsia="仿宋_GB2312"/>
                <w:sz w:val="24"/>
              </w:rPr>
            </w:pPr>
            <w:r>
              <w:rPr>
                <w:rFonts w:hint="eastAsia" w:ascii="仿宋_GB2312" w:hAnsi="仿宋" w:eastAsia="仿宋_GB2312"/>
                <w:sz w:val="24"/>
              </w:rPr>
              <w:t>政治表现</w:t>
            </w:r>
          </w:p>
        </w:tc>
        <w:tc>
          <w:tcPr>
            <w:tcW w:w="4245" w:type="dxa"/>
            <w:vAlign w:val="center"/>
          </w:tcPr>
          <w:p w14:paraId="26E965E1">
            <w:pPr>
              <w:keepNext w:val="0"/>
              <w:keepLines w:val="0"/>
              <w:suppressLineNumbers w:val="0"/>
              <w:adjustRightInd w:val="0"/>
              <w:snapToGrid w:val="0"/>
              <w:spacing w:before="0" w:beforeAutospacing="0" w:after="0" w:afterAutospacing="0"/>
              <w:ind w:left="0" w:right="0"/>
              <w:rPr>
                <w:rFonts w:hint="default" w:ascii="仿宋_GB2312" w:hAnsi="仿宋" w:eastAsia="仿宋_GB2312"/>
                <w:szCs w:val="21"/>
              </w:rPr>
            </w:pPr>
            <w:r>
              <w:rPr>
                <w:rFonts w:hint="eastAsia" w:ascii="仿宋_GB2312" w:hAnsi="仿宋" w:eastAsia="仿宋_GB2312"/>
                <w:szCs w:val="21"/>
              </w:rPr>
              <w:t>坚持正确的政治立场；政治上进心强，能主动向党组织靠拢；服从组织安排；积极参加各项有关政治活动；关心时事政治，积极参加政治理论学习。</w:t>
            </w:r>
          </w:p>
        </w:tc>
        <w:tc>
          <w:tcPr>
            <w:tcW w:w="4253" w:type="dxa"/>
            <w:vAlign w:val="center"/>
          </w:tcPr>
          <w:p w14:paraId="103860E8">
            <w:pPr>
              <w:keepNext w:val="0"/>
              <w:keepLines w:val="0"/>
              <w:suppressLineNumbers w:val="0"/>
              <w:adjustRightInd w:val="0"/>
              <w:snapToGrid w:val="0"/>
              <w:spacing w:before="0" w:beforeAutospacing="0" w:after="0" w:afterAutospacing="0"/>
              <w:ind w:left="0" w:right="0"/>
              <w:rPr>
                <w:rFonts w:hint="default" w:ascii="仿宋_GB2312" w:hAnsi="仿宋" w:eastAsia="仿宋_GB2312"/>
                <w:szCs w:val="21"/>
              </w:rPr>
            </w:pPr>
            <w:r>
              <w:rPr>
                <w:rFonts w:hint="eastAsia" w:ascii="仿宋_GB2312" w:hAnsi="仿宋" w:eastAsia="仿宋_GB2312"/>
                <w:szCs w:val="21"/>
              </w:rPr>
              <w:t>政治立场正确；有较强的政治上进心；靠拢党组织；认真参加学校组织的各项政治活动；较关心时事政治；能参加各项理论学习；态度良好。</w:t>
            </w:r>
          </w:p>
        </w:tc>
        <w:tc>
          <w:tcPr>
            <w:tcW w:w="3260" w:type="dxa"/>
            <w:vAlign w:val="center"/>
          </w:tcPr>
          <w:p w14:paraId="53D0D78D">
            <w:pPr>
              <w:keepNext w:val="0"/>
              <w:keepLines w:val="0"/>
              <w:widowControl/>
              <w:suppressLineNumbers w:val="0"/>
              <w:adjustRightInd w:val="0"/>
              <w:snapToGrid w:val="0"/>
              <w:spacing w:before="0" w:beforeAutospacing="0" w:after="0" w:afterAutospacing="0"/>
              <w:ind w:left="0" w:right="0"/>
              <w:jc w:val="left"/>
              <w:rPr>
                <w:rFonts w:hint="default" w:ascii="仿宋_GB2312" w:hAnsi="仿宋" w:eastAsia="仿宋_GB2312"/>
                <w:szCs w:val="21"/>
              </w:rPr>
            </w:pPr>
            <w:r>
              <w:rPr>
                <w:rFonts w:hint="eastAsia" w:ascii="仿宋_GB2312" w:hAnsi="仿宋" w:eastAsia="仿宋_GB2312"/>
                <w:szCs w:val="21"/>
              </w:rPr>
              <w:t>政治上进心不强；有时不参加学校组织的政治活动；不重视政治理论学习；对时事政治关心不够。</w:t>
            </w:r>
          </w:p>
        </w:tc>
        <w:tc>
          <w:tcPr>
            <w:tcW w:w="1701" w:type="dxa"/>
            <w:shd w:val="clear" w:color="auto" w:fill="auto"/>
          </w:tcPr>
          <w:p w14:paraId="2B4F28A4">
            <w:pPr>
              <w:keepNext w:val="0"/>
              <w:keepLines w:val="0"/>
              <w:widowControl/>
              <w:suppressLineNumbers w:val="0"/>
              <w:adjustRightInd w:val="0"/>
              <w:snapToGrid w:val="0"/>
              <w:spacing w:before="0" w:beforeAutospacing="0" w:after="0" w:afterAutospacing="0"/>
              <w:ind w:left="0" w:right="0"/>
              <w:jc w:val="left"/>
              <w:rPr>
                <w:rFonts w:hint="default" w:ascii="仿宋_GB2312" w:hAnsi="仿宋" w:eastAsia="仿宋_GB2312"/>
                <w:szCs w:val="21"/>
              </w:rPr>
            </w:pPr>
          </w:p>
        </w:tc>
      </w:tr>
      <w:tr w14:paraId="1F0CD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6" w:hRule="atLeast"/>
        </w:trPr>
        <w:tc>
          <w:tcPr>
            <w:tcW w:w="995" w:type="dxa"/>
            <w:tcBorders>
              <w:left w:val="single" w:color="auto" w:sz="4" w:space="0"/>
            </w:tcBorders>
            <w:textDirection w:val="tbRlV"/>
            <w:vAlign w:val="center"/>
          </w:tcPr>
          <w:p w14:paraId="438175FE">
            <w:pPr>
              <w:keepNext w:val="0"/>
              <w:keepLines w:val="0"/>
              <w:suppressLineNumbers w:val="0"/>
              <w:adjustRightInd w:val="0"/>
              <w:snapToGrid w:val="0"/>
              <w:spacing w:before="0" w:beforeAutospacing="0" w:after="0" w:afterAutospacing="0"/>
              <w:ind w:left="113" w:right="113"/>
              <w:jc w:val="center"/>
              <w:rPr>
                <w:rFonts w:hint="default" w:ascii="仿宋_GB2312" w:hAnsi="仿宋" w:eastAsia="仿宋_GB2312"/>
                <w:sz w:val="24"/>
              </w:rPr>
            </w:pPr>
            <w:r>
              <w:rPr>
                <w:rFonts w:hint="eastAsia" w:ascii="仿宋_GB2312" w:hAnsi="仿宋" w:eastAsia="仿宋_GB2312"/>
                <w:sz w:val="24"/>
              </w:rPr>
              <w:t>团结协作</w:t>
            </w:r>
          </w:p>
        </w:tc>
        <w:tc>
          <w:tcPr>
            <w:tcW w:w="4245" w:type="dxa"/>
            <w:vAlign w:val="center"/>
          </w:tcPr>
          <w:p w14:paraId="1EC3DCF3">
            <w:pPr>
              <w:keepNext w:val="0"/>
              <w:keepLines w:val="0"/>
              <w:suppressLineNumbers w:val="0"/>
              <w:adjustRightInd w:val="0"/>
              <w:snapToGrid w:val="0"/>
              <w:spacing w:before="0" w:beforeAutospacing="0" w:after="0" w:afterAutospacing="0"/>
              <w:ind w:left="0" w:right="0"/>
              <w:rPr>
                <w:rFonts w:hint="default" w:ascii="仿宋_GB2312" w:hAnsi="仿宋" w:eastAsia="仿宋_GB2312"/>
                <w:szCs w:val="21"/>
              </w:rPr>
            </w:pPr>
            <w:r>
              <w:rPr>
                <w:rFonts w:hint="eastAsia" w:ascii="仿宋_GB2312" w:hAnsi="仿宋" w:eastAsia="仿宋_GB2312"/>
                <w:szCs w:val="21"/>
              </w:rPr>
              <w:t>有很强的集体荣誉感；主动积极地参加各项集体活动；个人利益服从集体利益；有很好的集体协作精神；团结并热心帮助同学。</w:t>
            </w:r>
          </w:p>
        </w:tc>
        <w:tc>
          <w:tcPr>
            <w:tcW w:w="4253" w:type="dxa"/>
            <w:vAlign w:val="center"/>
          </w:tcPr>
          <w:p w14:paraId="7D5807EF">
            <w:pPr>
              <w:keepNext w:val="0"/>
              <w:keepLines w:val="0"/>
              <w:suppressLineNumbers w:val="0"/>
              <w:adjustRightInd w:val="0"/>
              <w:snapToGrid w:val="0"/>
              <w:spacing w:before="0" w:beforeAutospacing="0" w:after="0" w:afterAutospacing="0"/>
              <w:ind w:left="0" w:right="0"/>
              <w:rPr>
                <w:rFonts w:hint="default" w:ascii="仿宋_GB2312" w:hAnsi="仿宋" w:eastAsia="仿宋_GB2312"/>
                <w:szCs w:val="21"/>
              </w:rPr>
            </w:pPr>
            <w:r>
              <w:rPr>
                <w:rFonts w:hint="eastAsia" w:ascii="仿宋_GB2312" w:hAnsi="仿宋" w:eastAsia="仿宋_GB2312"/>
                <w:szCs w:val="21"/>
              </w:rPr>
              <w:t>集体荣誉感较强；能按要求认真参加各项集体活动；不做有损集体的事；有一定的协作精神，能为同学服务。</w:t>
            </w:r>
          </w:p>
        </w:tc>
        <w:tc>
          <w:tcPr>
            <w:tcW w:w="3260" w:type="dxa"/>
            <w:vAlign w:val="center"/>
          </w:tcPr>
          <w:p w14:paraId="140FA662">
            <w:pPr>
              <w:keepNext w:val="0"/>
              <w:keepLines w:val="0"/>
              <w:widowControl/>
              <w:suppressLineNumbers w:val="0"/>
              <w:adjustRightInd w:val="0"/>
              <w:snapToGrid w:val="0"/>
              <w:spacing w:before="0" w:beforeAutospacing="0" w:after="0" w:afterAutospacing="0"/>
              <w:ind w:left="0" w:right="0"/>
              <w:jc w:val="left"/>
              <w:rPr>
                <w:rFonts w:hint="default" w:ascii="仿宋_GB2312" w:hAnsi="仿宋" w:eastAsia="仿宋_GB2312"/>
                <w:szCs w:val="21"/>
              </w:rPr>
            </w:pPr>
            <w:r>
              <w:rPr>
                <w:rFonts w:hint="eastAsia" w:ascii="仿宋_GB2312" w:hAnsi="仿宋" w:eastAsia="仿宋_GB2312"/>
                <w:szCs w:val="21"/>
              </w:rPr>
              <w:t>集体荣誉感、集体观念不强；不认真参加或有时缺席集体活动；缺乏协作精神。</w:t>
            </w:r>
          </w:p>
        </w:tc>
        <w:tc>
          <w:tcPr>
            <w:tcW w:w="1701" w:type="dxa"/>
            <w:shd w:val="clear" w:color="auto" w:fill="auto"/>
          </w:tcPr>
          <w:p w14:paraId="79BF9550">
            <w:pPr>
              <w:keepNext w:val="0"/>
              <w:keepLines w:val="0"/>
              <w:widowControl/>
              <w:suppressLineNumbers w:val="0"/>
              <w:adjustRightInd w:val="0"/>
              <w:snapToGrid w:val="0"/>
              <w:spacing w:before="0" w:beforeAutospacing="0" w:after="0" w:afterAutospacing="0"/>
              <w:ind w:left="0" w:right="0"/>
              <w:jc w:val="left"/>
              <w:rPr>
                <w:rFonts w:hint="default" w:ascii="仿宋_GB2312" w:hAnsi="仿宋" w:eastAsia="仿宋_GB2312"/>
                <w:szCs w:val="21"/>
              </w:rPr>
            </w:pPr>
          </w:p>
        </w:tc>
      </w:tr>
      <w:tr w14:paraId="681AF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6" w:hRule="atLeast"/>
        </w:trPr>
        <w:tc>
          <w:tcPr>
            <w:tcW w:w="995" w:type="dxa"/>
            <w:tcBorders>
              <w:left w:val="single" w:color="auto" w:sz="4" w:space="0"/>
            </w:tcBorders>
            <w:textDirection w:val="tbRlV"/>
            <w:vAlign w:val="center"/>
          </w:tcPr>
          <w:p w14:paraId="16F7A5E0">
            <w:pPr>
              <w:keepNext w:val="0"/>
              <w:keepLines w:val="0"/>
              <w:suppressLineNumbers w:val="0"/>
              <w:adjustRightInd w:val="0"/>
              <w:snapToGrid w:val="0"/>
              <w:spacing w:before="0" w:beforeAutospacing="0" w:after="0" w:afterAutospacing="0"/>
              <w:ind w:left="113" w:right="113"/>
              <w:jc w:val="center"/>
              <w:rPr>
                <w:rFonts w:hint="default" w:ascii="仿宋_GB2312" w:hAnsi="仿宋" w:eastAsia="仿宋_GB2312"/>
                <w:sz w:val="24"/>
              </w:rPr>
            </w:pPr>
            <w:r>
              <w:rPr>
                <w:rFonts w:hint="eastAsia" w:ascii="仿宋_GB2312" w:hAnsi="仿宋" w:eastAsia="仿宋_GB2312"/>
                <w:sz w:val="24"/>
              </w:rPr>
              <w:t>遵纪守法</w:t>
            </w:r>
          </w:p>
        </w:tc>
        <w:tc>
          <w:tcPr>
            <w:tcW w:w="4245" w:type="dxa"/>
            <w:vAlign w:val="center"/>
          </w:tcPr>
          <w:p w14:paraId="62E23AA4">
            <w:pPr>
              <w:keepNext w:val="0"/>
              <w:keepLines w:val="0"/>
              <w:suppressLineNumbers w:val="0"/>
              <w:adjustRightInd w:val="0"/>
              <w:snapToGrid w:val="0"/>
              <w:spacing w:before="0" w:beforeAutospacing="0" w:after="0" w:afterAutospacing="0"/>
              <w:ind w:left="0" w:right="0"/>
              <w:rPr>
                <w:rFonts w:hint="default" w:ascii="仿宋_GB2312" w:hAnsi="仿宋" w:eastAsia="仿宋_GB2312"/>
                <w:szCs w:val="21"/>
              </w:rPr>
            </w:pPr>
            <w:r>
              <w:rPr>
                <w:rFonts w:hint="eastAsia" w:ascii="仿宋_GB2312" w:hAnsi="仿宋" w:eastAsia="仿宋_GB2312"/>
                <w:szCs w:val="21"/>
              </w:rPr>
              <w:t>严格要求自己；自觉学习和遵守法律法规与学校的各项规章制度，主动协助管理人员做好管理工作，起到模范带头作用；敢于进行批评和自我批评；勇于同不良行为作斗争。</w:t>
            </w:r>
          </w:p>
        </w:tc>
        <w:tc>
          <w:tcPr>
            <w:tcW w:w="4253" w:type="dxa"/>
            <w:vAlign w:val="center"/>
          </w:tcPr>
          <w:p w14:paraId="780E9005">
            <w:pPr>
              <w:keepNext w:val="0"/>
              <w:keepLines w:val="0"/>
              <w:suppressLineNumbers w:val="0"/>
              <w:adjustRightInd w:val="0"/>
              <w:snapToGrid w:val="0"/>
              <w:spacing w:before="0" w:beforeAutospacing="0" w:after="0" w:afterAutospacing="0"/>
              <w:ind w:left="0" w:right="0"/>
              <w:rPr>
                <w:rFonts w:hint="default" w:ascii="仿宋_GB2312" w:hAnsi="仿宋" w:eastAsia="仿宋_GB2312"/>
                <w:szCs w:val="21"/>
              </w:rPr>
            </w:pPr>
            <w:r>
              <w:rPr>
                <w:rFonts w:hint="eastAsia" w:ascii="仿宋_GB2312" w:hAnsi="仿宋" w:eastAsia="仿宋_GB2312"/>
                <w:szCs w:val="21"/>
              </w:rPr>
              <w:t>能认真学习和遵守各项法律法规与学校的各项规章制度；接受各级管理人员的管理；能进行批评和自我批评。</w:t>
            </w:r>
          </w:p>
        </w:tc>
        <w:tc>
          <w:tcPr>
            <w:tcW w:w="3260" w:type="dxa"/>
            <w:vAlign w:val="center"/>
          </w:tcPr>
          <w:p w14:paraId="29A24145">
            <w:pPr>
              <w:keepNext w:val="0"/>
              <w:keepLines w:val="0"/>
              <w:widowControl/>
              <w:suppressLineNumbers w:val="0"/>
              <w:adjustRightInd w:val="0"/>
              <w:snapToGrid w:val="0"/>
              <w:spacing w:before="0" w:beforeAutospacing="0" w:after="0" w:afterAutospacing="0"/>
              <w:ind w:left="0" w:right="0"/>
              <w:jc w:val="left"/>
              <w:rPr>
                <w:rFonts w:hint="default" w:ascii="仿宋_GB2312" w:hAnsi="仿宋" w:eastAsia="仿宋_GB2312"/>
                <w:szCs w:val="21"/>
              </w:rPr>
            </w:pPr>
            <w:r>
              <w:rPr>
                <w:rFonts w:hint="eastAsia" w:ascii="仿宋_GB2312" w:hAnsi="仿宋" w:eastAsia="仿宋_GB2312"/>
                <w:szCs w:val="21"/>
              </w:rPr>
              <w:t>对相关法律法规和学校的规章制度了解不够；偶有违反规章制度的行为和不服从管理人员管理的现象发生。</w:t>
            </w:r>
          </w:p>
        </w:tc>
        <w:tc>
          <w:tcPr>
            <w:tcW w:w="1701" w:type="dxa"/>
            <w:shd w:val="clear" w:color="auto" w:fill="auto"/>
          </w:tcPr>
          <w:p w14:paraId="115ACCE3">
            <w:pPr>
              <w:keepNext w:val="0"/>
              <w:keepLines w:val="0"/>
              <w:widowControl/>
              <w:suppressLineNumbers w:val="0"/>
              <w:adjustRightInd w:val="0"/>
              <w:snapToGrid w:val="0"/>
              <w:spacing w:before="0" w:beforeAutospacing="0" w:after="0" w:afterAutospacing="0"/>
              <w:ind w:left="0" w:right="0"/>
              <w:jc w:val="left"/>
              <w:rPr>
                <w:rFonts w:hint="default" w:ascii="仿宋_GB2312" w:hAnsi="仿宋" w:eastAsia="仿宋_GB2312"/>
                <w:szCs w:val="21"/>
              </w:rPr>
            </w:pPr>
          </w:p>
        </w:tc>
      </w:tr>
      <w:tr w14:paraId="412D7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9" w:hRule="atLeast"/>
        </w:trPr>
        <w:tc>
          <w:tcPr>
            <w:tcW w:w="995" w:type="dxa"/>
            <w:tcBorders>
              <w:left w:val="single" w:color="auto" w:sz="4" w:space="0"/>
              <w:bottom w:val="single" w:color="auto" w:sz="4" w:space="0"/>
            </w:tcBorders>
            <w:textDirection w:val="tbRlV"/>
            <w:vAlign w:val="center"/>
          </w:tcPr>
          <w:p w14:paraId="1A7E95EA">
            <w:pPr>
              <w:keepNext w:val="0"/>
              <w:keepLines w:val="0"/>
              <w:suppressLineNumbers w:val="0"/>
              <w:adjustRightInd w:val="0"/>
              <w:snapToGrid w:val="0"/>
              <w:spacing w:before="0" w:beforeAutospacing="0" w:after="0" w:afterAutospacing="0"/>
              <w:ind w:left="113" w:right="113"/>
              <w:jc w:val="center"/>
              <w:rPr>
                <w:rFonts w:hint="default" w:ascii="仿宋_GB2312" w:hAnsi="仿宋" w:eastAsia="仿宋_GB2312"/>
                <w:sz w:val="24"/>
              </w:rPr>
            </w:pPr>
            <w:r>
              <w:rPr>
                <w:rFonts w:hint="eastAsia" w:ascii="仿宋_GB2312" w:hAnsi="仿宋" w:eastAsia="仿宋_GB2312"/>
                <w:sz w:val="24"/>
              </w:rPr>
              <w:t>道德修养</w:t>
            </w:r>
          </w:p>
        </w:tc>
        <w:tc>
          <w:tcPr>
            <w:tcW w:w="4245" w:type="dxa"/>
            <w:tcBorders>
              <w:bottom w:val="single" w:color="auto" w:sz="4" w:space="0"/>
            </w:tcBorders>
            <w:vAlign w:val="center"/>
          </w:tcPr>
          <w:p w14:paraId="589796D4">
            <w:pPr>
              <w:keepNext w:val="0"/>
              <w:keepLines w:val="0"/>
              <w:suppressLineNumbers w:val="0"/>
              <w:adjustRightInd w:val="0"/>
              <w:snapToGrid w:val="0"/>
              <w:spacing w:before="0" w:beforeAutospacing="0" w:after="0" w:afterAutospacing="0"/>
              <w:ind w:left="0" w:right="0"/>
              <w:rPr>
                <w:rFonts w:hint="default" w:ascii="仿宋_GB2312" w:hAnsi="仿宋" w:eastAsia="仿宋_GB2312"/>
                <w:szCs w:val="21"/>
              </w:rPr>
            </w:pPr>
            <w:r>
              <w:rPr>
                <w:rFonts w:hint="eastAsia" w:ascii="仿宋_GB2312" w:hAnsi="仿宋" w:eastAsia="仿宋_GB2312"/>
                <w:szCs w:val="21"/>
              </w:rPr>
              <w:t>注重自身道德修养的提高；遵守并积极倡导社会公德；工作责任心强，待人诚恳；能为创建精神文明做贡献；主动讲文明、讲礼貌，严于律己。</w:t>
            </w:r>
          </w:p>
        </w:tc>
        <w:tc>
          <w:tcPr>
            <w:tcW w:w="4253" w:type="dxa"/>
            <w:tcBorders>
              <w:bottom w:val="single" w:color="auto" w:sz="4" w:space="0"/>
            </w:tcBorders>
            <w:vAlign w:val="center"/>
          </w:tcPr>
          <w:p w14:paraId="1977E237">
            <w:pPr>
              <w:keepNext w:val="0"/>
              <w:keepLines w:val="0"/>
              <w:suppressLineNumbers w:val="0"/>
              <w:adjustRightInd w:val="0"/>
              <w:snapToGrid w:val="0"/>
              <w:spacing w:before="0" w:beforeAutospacing="0" w:after="0" w:afterAutospacing="0"/>
              <w:ind w:left="0" w:right="0"/>
              <w:rPr>
                <w:rFonts w:hint="default" w:ascii="仿宋_GB2312" w:hAnsi="仿宋" w:eastAsia="仿宋_GB2312"/>
                <w:szCs w:val="21"/>
              </w:rPr>
            </w:pPr>
            <w:r>
              <w:rPr>
                <w:rFonts w:hint="eastAsia" w:ascii="仿宋_GB2312" w:hAnsi="仿宋" w:eastAsia="仿宋_GB2312"/>
                <w:szCs w:val="21"/>
              </w:rPr>
              <w:t>能不断加强和提高自己的道德修养；遵守社会公德；讲文明、讲礼貌，爱护公物，遵守社会公共秩序。</w:t>
            </w:r>
          </w:p>
        </w:tc>
        <w:tc>
          <w:tcPr>
            <w:tcW w:w="3260" w:type="dxa"/>
            <w:tcBorders>
              <w:bottom w:val="single" w:color="auto" w:sz="4" w:space="0"/>
            </w:tcBorders>
            <w:vAlign w:val="center"/>
          </w:tcPr>
          <w:p w14:paraId="2EBD64B9">
            <w:pPr>
              <w:keepNext w:val="0"/>
              <w:keepLines w:val="0"/>
              <w:widowControl/>
              <w:suppressLineNumbers w:val="0"/>
              <w:adjustRightInd w:val="0"/>
              <w:snapToGrid w:val="0"/>
              <w:spacing w:before="0" w:beforeAutospacing="0" w:after="0" w:afterAutospacing="0"/>
              <w:ind w:left="0" w:right="0"/>
              <w:jc w:val="left"/>
              <w:rPr>
                <w:rFonts w:hint="default" w:ascii="仿宋_GB2312" w:hAnsi="仿宋" w:eastAsia="仿宋_GB2312"/>
                <w:szCs w:val="21"/>
              </w:rPr>
            </w:pPr>
            <w:r>
              <w:rPr>
                <w:rFonts w:hint="eastAsia" w:ascii="仿宋_GB2312" w:hAnsi="仿宋" w:eastAsia="仿宋_GB2312"/>
                <w:szCs w:val="21"/>
              </w:rPr>
              <w:t>对个人的道德品质修养不够重视；社会公德意识不够强；与同学关系不够融洽，文明礼貌方面做的比较欠缺。</w:t>
            </w:r>
          </w:p>
        </w:tc>
        <w:tc>
          <w:tcPr>
            <w:tcW w:w="1701" w:type="dxa"/>
            <w:tcBorders>
              <w:bottom w:val="single" w:color="auto" w:sz="4" w:space="0"/>
            </w:tcBorders>
            <w:shd w:val="clear" w:color="auto" w:fill="auto"/>
          </w:tcPr>
          <w:p w14:paraId="47472BF5">
            <w:pPr>
              <w:keepNext w:val="0"/>
              <w:keepLines w:val="0"/>
              <w:widowControl/>
              <w:suppressLineNumbers w:val="0"/>
              <w:adjustRightInd w:val="0"/>
              <w:snapToGrid w:val="0"/>
              <w:spacing w:before="0" w:beforeAutospacing="0" w:after="0" w:afterAutospacing="0"/>
              <w:ind w:left="0" w:right="0"/>
              <w:jc w:val="left"/>
              <w:rPr>
                <w:rFonts w:hint="default" w:ascii="仿宋_GB2312" w:hAnsi="仿宋" w:eastAsia="仿宋_GB2312"/>
                <w:szCs w:val="21"/>
              </w:rPr>
            </w:pPr>
          </w:p>
        </w:tc>
      </w:tr>
      <w:tr w14:paraId="39B21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5240" w:type="dxa"/>
            <w:gridSpan w:val="2"/>
            <w:tcBorders>
              <w:top w:val="single" w:color="auto" w:sz="4" w:space="0"/>
              <w:left w:val="single" w:color="auto" w:sz="4" w:space="0"/>
            </w:tcBorders>
            <w:vAlign w:val="center"/>
          </w:tcPr>
          <w:p w14:paraId="00792739">
            <w:pPr>
              <w:keepNext w:val="0"/>
              <w:keepLines w:val="0"/>
              <w:suppressLineNumbers w:val="0"/>
              <w:adjustRightInd w:val="0"/>
              <w:snapToGrid w:val="0"/>
              <w:spacing w:before="0" w:beforeAutospacing="0" w:after="0" w:afterAutospacing="0"/>
              <w:ind w:left="0" w:right="0" w:firstLine="735" w:firstLineChars="350"/>
              <w:rPr>
                <w:rFonts w:hint="default" w:ascii="仿宋_GB2312" w:hAnsi="仿宋" w:eastAsia="仿宋_GB2312"/>
                <w:szCs w:val="21"/>
              </w:rPr>
            </w:pPr>
            <w:r>
              <w:rPr>
                <w:rFonts w:hint="eastAsia" w:ascii="仿宋_GB2312" w:hAnsi="仿宋" w:eastAsia="仿宋_GB2312"/>
                <w:szCs w:val="21"/>
              </w:rPr>
              <w:t>总评分</w:t>
            </w:r>
          </w:p>
        </w:tc>
        <w:tc>
          <w:tcPr>
            <w:tcW w:w="9214" w:type="dxa"/>
            <w:gridSpan w:val="3"/>
            <w:tcBorders>
              <w:top w:val="single" w:color="auto" w:sz="4" w:space="0"/>
            </w:tcBorders>
          </w:tcPr>
          <w:p w14:paraId="3E427CCE">
            <w:pPr>
              <w:keepNext w:val="0"/>
              <w:keepLines w:val="0"/>
              <w:suppressLineNumbers w:val="0"/>
              <w:adjustRightInd w:val="0"/>
              <w:snapToGrid w:val="0"/>
              <w:spacing w:before="0" w:beforeAutospacing="0" w:after="0" w:afterAutospacing="0"/>
              <w:ind w:left="0" w:right="0"/>
              <w:rPr>
                <w:rFonts w:hint="default" w:ascii="仿宋_GB2312" w:hAnsi="仿宋" w:eastAsia="仿宋_GB2312"/>
                <w:szCs w:val="21"/>
              </w:rPr>
            </w:pPr>
          </w:p>
        </w:tc>
      </w:tr>
    </w:tbl>
    <w:p w14:paraId="7C9C08C0">
      <w:pPr>
        <w:adjustRightInd w:val="0"/>
        <w:snapToGrid w:val="0"/>
        <w:rPr>
          <w:rFonts w:ascii="文鼎大标宋简" w:hAnsi="宋体" w:eastAsia="文鼎大标宋简"/>
          <w:b/>
          <w:sz w:val="30"/>
          <w:szCs w:val="30"/>
        </w:rPr>
      </w:pPr>
    </w:p>
    <w:sectPr>
      <w:headerReference r:id="rId3" w:type="default"/>
      <w:footerReference r:id="rId4" w:type="default"/>
      <w:footerReference r:id="rId5" w:type="even"/>
      <w:pgSz w:w="16838" w:h="11906" w:orient="landscape"/>
      <w:pgMar w:top="1134" w:right="1134" w:bottom="1134" w:left="1134" w:header="851" w:footer="1474"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文鼎大标宋简">
    <w:altName w:val="宋体"/>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63BD96">
    <w:pPr>
      <w:pStyle w:val="4"/>
      <w:framePr w:wrap="around" w:vAnchor="text" w:hAnchor="margin" w:xAlign="center" w:y="1"/>
      <w:rPr>
        <w:rStyle w:val="11"/>
      </w:rPr>
    </w:pPr>
    <w:r>
      <w:fldChar w:fldCharType="begin"/>
    </w:r>
    <w:r>
      <w:rPr>
        <w:rStyle w:val="11"/>
      </w:rPr>
      <w:instrText xml:space="preserve">PAGE  </w:instrText>
    </w:r>
    <w:r>
      <w:fldChar w:fldCharType="separate"/>
    </w:r>
    <w:r>
      <w:rPr>
        <w:rStyle w:val="11"/>
      </w:rPr>
      <w:t>- 6 -</w:t>
    </w:r>
    <w:r>
      <w:fldChar w:fldCharType="end"/>
    </w:r>
  </w:p>
  <w:p w14:paraId="4A39AF44">
    <w:pPr>
      <w:pStyle w:val="4"/>
      <w:ind w:right="108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3662B4">
    <w:pPr>
      <w:pStyle w:val="4"/>
      <w:framePr w:wrap="around" w:vAnchor="text" w:hAnchor="margin" w:xAlign="center" w:y="1"/>
      <w:rPr>
        <w:rStyle w:val="11"/>
      </w:rPr>
    </w:pPr>
    <w:r>
      <w:fldChar w:fldCharType="begin"/>
    </w:r>
    <w:r>
      <w:rPr>
        <w:rStyle w:val="11"/>
      </w:rPr>
      <w:instrText xml:space="preserve">PAGE  </w:instrText>
    </w:r>
    <w:r>
      <w:fldChar w:fldCharType="separate"/>
    </w:r>
    <w:r>
      <w:rPr>
        <w:rStyle w:val="11"/>
      </w:rPr>
      <w:t>- 6 -</w:t>
    </w:r>
    <w:r>
      <w:fldChar w:fldCharType="end"/>
    </w:r>
  </w:p>
  <w:p w14:paraId="568E6C9E">
    <w:pPr>
      <w:pStyle w:val="4"/>
      <w:rPr>
        <w:rFonts w:ascii="宋体" w:hAnsi="宋体"/>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7ED14">
    <w:pPr>
      <w:pStyle w:val="5"/>
      <w:pBdr>
        <w:bottom w:val="none" w:color="auto" w:sz="0" w:space="0"/>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UyMjgwNzFjODcxM2ZjZGI2N2IwYzkwZDRkMjAzNjQifQ=="/>
  </w:docVars>
  <w:rsids>
    <w:rsidRoot w:val="00E03E23"/>
    <w:rsid w:val="00011920"/>
    <w:rsid w:val="00011B4F"/>
    <w:rsid w:val="00017C4C"/>
    <w:rsid w:val="000241F7"/>
    <w:rsid w:val="00025F31"/>
    <w:rsid w:val="00030986"/>
    <w:rsid w:val="00043573"/>
    <w:rsid w:val="00045DED"/>
    <w:rsid w:val="00056200"/>
    <w:rsid w:val="00065115"/>
    <w:rsid w:val="00075344"/>
    <w:rsid w:val="00080D98"/>
    <w:rsid w:val="000A1D10"/>
    <w:rsid w:val="000B5428"/>
    <w:rsid w:val="000C09BF"/>
    <w:rsid w:val="000D3089"/>
    <w:rsid w:val="000D5F3B"/>
    <w:rsid w:val="000F2896"/>
    <w:rsid w:val="001143B6"/>
    <w:rsid w:val="001418DD"/>
    <w:rsid w:val="00175EC9"/>
    <w:rsid w:val="00197B65"/>
    <w:rsid w:val="001C73DA"/>
    <w:rsid w:val="001E2AD8"/>
    <w:rsid w:val="001F5C10"/>
    <w:rsid w:val="0021743A"/>
    <w:rsid w:val="00247B3A"/>
    <w:rsid w:val="00252EAB"/>
    <w:rsid w:val="00257C00"/>
    <w:rsid w:val="00261CA0"/>
    <w:rsid w:val="00294268"/>
    <w:rsid w:val="002B1F2C"/>
    <w:rsid w:val="002B6EE6"/>
    <w:rsid w:val="002D5C0F"/>
    <w:rsid w:val="002D69F0"/>
    <w:rsid w:val="002F35A9"/>
    <w:rsid w:val="00315AB4"/>
    <w:rsid w:val="00321A54"/>
    <w:rsid w:val="00323D8A"/>
    <w:rsid w:val="00340F26"/>
    <w:rsid w:val="00352072"/>
    <w:rsid w:val="00361D8A"/>
    <w:rsid w:val="00377817"/>
    <w:rsid w:val="00377EC4"/>
    <w:rsid w:val="00386FAC"/>
    <w:rsid w:val="003D6A68"/>
    <w:rsid w:val="003F5A44"/>
    <w:rsid w:val="004000A8"/>
    <w:rsid w:val="00407A91"/>
    <w:rsid w:val="00415039"/>
    <w:rsid w:val="00425B82"/>
    <w:rsid w:val="00443F9B"/>
    <w:rsid w:val="004514C2"/>
    <w:rsid w:val="004564E6"/>
    <w:rsid w:val="00463A0D"/>
    <w:rsid w:val="00486B30"/>
    <w:rsid w:val="004917A0"/>
    <w:rsid w:val="004B6222"/>
    <w:rsid w:val="004C3D14"/>
    <w:rsid w:val="004D587D"/>
    <w:rsid w:val="004E7B48"/>
    <w:rsid w:val="004E7F60"/>
    <w:rsid w:val="004F5341"/>
    <w:rsid w:val="004F79BE"/>
    <w:rsid w:val="005113BA"/>
    <w:rsid w:val="00520C6D"/>
    <w:rsid w:val="00525BE9"/>
    <w:rsid w:val="0055121D"/>
    <w:rsid w:val="0056249A"/>
    <w:rsid w:val="00566CEE"/>
    <w:rsid w:val="0057018C"/>
    <w:rsid w:val="00574FF4"/>
    <w:rsid w:val="005831F3"/>
    <w:rsid w:val="005924FE"/>
    <w:rsid w:val="005A3C77"/>
    <w:rsid w:val="005A71F5"/>
    <w:rsid w:val="005B4A64"/>
    <w:rsid w:val="005C472B"/>
    <w:rsid w:val="005D7B1C"/>
    <w:rsid w:val="005E5342"/>
    <w:rsid w:val="005F4B04"/>
    <w:rsid w:val="00602EAF"/>
    <w:rsid w:val="0061553E"/>
    <w:rsid w:val="006203B1"/>
    <w:rsid w:val="00624774"/>
    <w:rsid w:val="00635FB4"/>
    <w:rsid w:val="00636046"/>
    <w:rsid w:val="00636DF7"/>
    <w:rsid w:val="0065629B"/>
    <w:rsid w:val="00657474"/>
    <w:rsid w:val="006637CB"/>
    <w:rsid w:val="00664550"/>
    <w:rsid w:val="006748AF"/>
    <w:rsid w:val="006754E9"/>
    <w:rsid w:val="0068203B"/>
    <w:rsid w:val="006923B2"/>
    <w:rsid w:val="00694FB1"/>
    <w:rsid w:val="0069515F"/>
    <w:rsid w:val="006A2C2E"/>
    <w:rsid w:val="006A5A23"/>
    <w:rsid w:val="006A6AA3"/>
    <w:rsid w:val="006B2385"/>
    <w:rsid w:val="006C1AF3"/>
    <w:rsid w:val="006D59CD"/>
    <w:rsid w:val="006D6F3B"/>
    <w:rsid w:val="00761511"/>
    <w:rsid w:val="00775B2B"/>
    <w:rsid w:val="00776896"/>
    <w:rsid w:val="007844D7"/>
    <w:rsid w:val="007A62BA"/>
    <w:rsid w:val="007A6700"/>
    <w:rsid w:val="007A6777"/>
    <w:rsid w:val="007A6C1C"/>
    <w:rsid w:val="007A7DD9"/>
    <w:rsid w:val="007B0908"/>
    <w:rsid w:val="007C2841"/>
    <w:rsid w:val="007C2CDB"/>
    <w:rsid w:val="007D2238"/>
    <w:rsid w:val="00830632"/>
    <w:rsid w:val="00831511"/>
    <w:rsid w:val="008320C1"/>
    <w:rsid w:val="00844331"/>
    <w:rsid w:val="00882C8C"/>
    <w:rsid w:val="00885C93"/>
    <w:rsid w:val="0088756B"/>
    <w:rsid w:val="00894F89"/>
    <w:rsid w:val="00897FB4"/>
    <w:rsid w:val="008A66C3"/>
    <w:rsid w:val="008B4F21"/>
    <w:rsid w:val="008E0C4A"/>
    <w:rsid w:val="008F53BC"/>
    <w:rsid w:val="009332E7"/>
    <w:rsid w:val="00994180"/>
    <w:rsid w:val="009A4304"/>
    <w:rsid w:val="009A4914"/>
    <w:rsid w:val="009C73AB"/>
    <w:rsid w:val="00A00829"/>
    <w:rsid w:val="00A2098D"/>
    <w:rsid w:val="00A23205"/>
    <w:rsid w:val="00A41100"/>
    <w:rsid w:val="00A41A12"/>
    <w:rsid w:val="00A544F3"/>
    <w:rsid w:val="00A56C1E"/>
    <w:rsid w:val="00A93D5B"/>
    <w:rsid w:val="00AC6664"/>
    <w:rsid w:val="00AF78B7"/>
    <w:rsid w:val="00B04FE4"/>
    <w:rsid w:val="00B12273"/>
    <w:rsid w:val="00B1693A"/>
    <w:rsid w:val="00B205BC"/>
    <w:rsid w:val="00B31F66"/>
    <w:rsid w:val="00B40F82"/>
    <w:rsid w:val="00B500B8"/>
    <w:rsid w:val="00B55CDC"/>
    <w:rsid w:val="00B56AB9"/>
    <w:rsid w:val="00B56EAB"/>
    <w:rsid w:val="00B7014D"/>
    <w:rsid w:val="00B9057E"/>
    <w:rsid w:val="00B90D2F"/>
    <w:rsid w:val="00BB2149"/>
    <w:rsid w:val="00BB3A7A"/>
    <w:rsid w:val="00BB3AE2"/>
    <w:rsid w:val="00BC4489"/>
    <w:rsid w:val="00BC45AE"/>
    <w:rsid w:val="00BD6F1E"/>
    <w:rsid w:val="00BD7BE2"/>
    <w:rsid w:val="00BF1736"/>
    <w:rsid w:val="00C12C6A"/>
    <w:rsid w:val="00C147BD"/>
    <w:rsid w:val="00C34A59"/>
    <w:rsid w:val="00C455A3"/>
    <w:rsid w:val="00C55D8A"/>
    <w:rsid w:val="00C83C30"/>
    <w:rsid w:val="00C90DC5"/>
    <w:rsid w:val="00C92257"/>
    <w:rsid w:val="00C964DE"/>
    <w:rsid w:val="00CB26C0"/>
    <w:rsid w:val="00CB793B"/>
    <w:rsid w:val="00CD35CD"/>
    <w:rsid w:val="00CD40EC"/>
    <w:rsid w:val="00CD4CD1"/>
    <w:rsid w:val="00CE58DA"/>
    <w:rsid w:val="00CF7074"/>
    <w:rsid w:val="00D04E41"/>
    <w:rsid w:val="00D15027"/>
    <w:rsid w:val="00D26197"/>
    <w:rsid w:val="00D261A7"/>
    <w:rsid w:val="00D555BB"/>
    <w:rsid w:val="00D85240"/>
    <w:rsid w:val="00D90658"/>
    <w:rsid w:val="00D92317"/>
    <w:rsid w:val="00D9242A"/>
    <w:rsid w:val="00DA3D28"/>
    <w:rsid w:val="00DC3328"/>
    <w:rsid w:val="00DC39EA"/>
    <w:rsid w:val="00DC7F37"/>
    <w:rsid w:val="00DE4496"/>
    <w:rsid w:val="00DF5A93"/>
    <w:rsid w:val="00DF79BD"/>
    <w:rsid w:val="00E03E23"/>
    <w:rsid w:val="00E0750C"/>
    <w:rsid w:val="00E11C70"/>
    <w:rsid w:val="00E2523F"/>
    <w:rsid w:val="00E25820"/>
    <w:rsid w:val="00E26E35"/>
    <w:rsid w:val="00E61674"/>
    <w:rsid w:val="00E71239"/>
    <w:rsid w:val="00E73EED"/>
    <w:rsid w:val="00E74D05"/>
    <w:rsid w:val="00E80C37"/>
    <w:rsid w:val="00E8529C"/>
    <w:rsid w:val="00E86668"/>
    <w:rsid w:val="00E86AC2"/>
    <w:rsid w:val="00EA05FA"/>
    <w:rsid w:val="00EA4E8A"/>
    <w:rsid w:val="00EA5295"/>
    <w:rsid w:val="00EF4041"/>
    <w:rsid w:val="00F04B4C"/>
    <w:rsid w:val="00F07708"/>
    <w:rsid w:val="00F258D9"/>
    <w:rsid w:val="00F36AE0"/>
    <w:rsid w:val="00F44BD2"/>
    <w:rsid w:val="00F55F3D"/>
    <w:rsid w:val="00F56B16"/>
    <w:rsid w:val="00F60E78"/>
    <w:rsid w:val="00F713E9"/>
    <w:rsid w:val="00F8539D"/>
    <w:rsid w:val="00F87C5B"/>
    <w:rsid w:val="00F906D3"/>
    <w:rsid w:val="00FC5E3B"/>
    <w:rsid w:val="00FE024F"/>
    <w:rsid w:val="00FF6DD3"/>
    <w:rsid w:val="025008C3"/>
    <w:rsid w:val="02935D81"/>
    <w:rsid w:val="029C3B08"/>
    <w:rsid w:val="031F40B3"/>
    <w:rsid w:val="033124A2"/>
    <w:rsid w:val="034D1086"/>
    <w:rsid w:val="03546191"/>
    <w:rsid w:val="035B575C"/>
    <w:rsid w:val="03E70E1D"/>
    <w:rsid w:val="04522D13"/>
    <w:rsid w:val="04722DCE"/>
    <w:rsid w:val="04DF6C8C"/>
    <w:rsid w:val="04EB042F"/>
    <w:rsid w:val="050F6813"/>
    <w:rsid w:val="05595CE0"/>
    <w:rsid w:val="057311F3"/>
    <w:rsid w:val="067F6A97"/>
    <w:rsid w:val="06896151"/>
    <w:rsid w:val="06A765D7"/>
    <w:rsid w:val="06F35CC1"/>
    <w:rsid w:val="07927288"/>
    <w:rsid w:val="07E64504"/>
    <w:rsid w:val="08326375"/>
    <w:rsid w:val="08801380"/>
    <w:rsid w:val="0891753F"/>
    <w:rsid w:val="08A2174C"/>
    <w:rsid w:val="093A3733"/>
    <w:rsid w:val="096C65C2"/>
    <w:rsid w:val="0A2E50D9"/>
    <w:rsid w:val="0B03578E"/>
    <w:rsid w:val="0B3D4971"/>
    <w:rsid w:val="0BD56862"/>
    <w:rsid w:val="0BEA581A"/>
    <w:rsid w:val="0C142961"/>
    <w:rsid w:val="0C5E598A"/>
    <w:rsid w:val="0C8278CB"/>
    <w:rsid w:val="0CB663FC"/>
    <w:rsid w:val="0D1A5D55"/>
    <w:rsid w:val="0D58687D"/>
    <w:rsid w:val="0D7C07BE"/>
    <w:rsid w:val="0DCB704F"/>
    <w:rsid w:val="0FBC30F4"/>
    <w:rsid w:val="10303AE2"/>
    <w:rsid w:val="104A276B"/>
    <w:rsid w:val="10CD1A90"/>
    <w:rsid w:val="10D601E5"/>
    <w:rsid w:val="1102547E"/>
    <w:rsid w:val="118002EE"/>
    <w:rsid w:val="11E44B84"/>
    <w:rsid w:val="132A2A6A"/>
    <w:rsid w:val="133C1C42"/>
    <w:rsid w:val="139525D9"/>
    <w:rsid w:val="13C62793"/>
    <w:rsid w:val="141334FE"/>
    <w:rsid w:val="14397409"/>
    <w:rsid w:val="14F25809"/>
    <w:rsid w:val="15194B44"/>
    <w:rsid w:val="15D867AD"/>
    <w:rsid w:val="15EF3AF7"/>
    <w:rsid w:val="164976AB"/>
    <w:rsid w:val="16973DD4"/>
    <w:rsid w:val="16D76A65"/>
    <w:rsid w:val="16E60821"/>
    <w:rsid w:val="16EC79B0"/>
    <w:rsid w:val="17602EFE"/>
    <w:rsid w:val="179F7519"/>
    <w:rsid w:val="17E26493"/>
    <w:rsid w:val="182B5BDA"/>
    <w:rsid w:val="19C21C4E"/>
    <w:rsid w:val="19D13C3F"/>
    <w:rsid w:val="19EC1B72"/>
    <w:rsid w:val="1A0933D9"/>
    <w:rsid w:val="1A512FD2"/>
    <w:rsid w:val="1A587EBD"/>
    <w:rsid w:val="1A7D67CA"/>
    <w:rsid w:val="1A9F0936"/>
    <w:rsid w:val="1AA650CC"/>
    <w:rsid w:val="1AF71484"/>
    <w:rsid w:val="1B46065D"/>
    <w:rsid w:val="1B531365"/>
    <w:rsid w:val="1B7A20B5"/>
    <w:rsid w:val="1CE617B0"/>
    <w:rsid w:val="1DD65334"/>
    <w:rsid w:val="1E012619"/>
    <w:rsid w:val="1E180025"/>
    <w:rsid w:val="1E4543A4"/>
    <w:rsid w:val="1E854FF8"/>
    <w:rsid w:val="1EE51A77"/>
    <w:rsid w:val="1F7532BF"/>
    <w:rsid w:val="2059673D"/>
    <w:rsid w:val="20AF2EF5"/>
    <w:rsid w:val="20E93F65"/>
    <w:rsid w:val="215F7D83"/>
    <w:rsid w:val="217F6677"/>
    <w:rsid w:val="2214340E"/>
    <w:rsid w:val="22813D29"/>
    <w:rsid w:val="22A5210D"/>
    <w:rsid w:val="23241284"/>
    <w:rsid w:val="2350129B"/>
    <w:rsid w:val="240C04C3"/>
    <w:rsid w:val="2490314E"/>
    <w:rsid w:val="24962CBD"/>
    <w:rsid w:val="24EA3E07"/>
    <w:rsid w:val="25106B29"/>
    <w:rsid w:val="258424AE"/>
    <w:rsid w:val="258458FE"/>
    <w:rsid w:val="25BC39F6"/>
    <w:rsid w:val="25DE142E"/>
    <w:rsid w:val="263A2B6C"/>
    <w:rsid w:val="264D464E"/>
    <w:rsid w:val="265A320F"/>
    <w:rsid w:val="26C406B1"/>
    <w:rsid w:val="271C2272"/>
    <w:rsid w:val="28125142"/>
    <w:rsid w:val="28810F26"/>
    <w:rsid w:val="28F47A37"/>
    <w:rsid w:val="2904228C"/>
    <w:rsid w:val="2914163D"/>
    <w:rsid w:val="29A50C45"/>
    <w:rsid w:val="29AF73CD"/>
    <w:rsid w:val="2A73664D"/>
    <w:rsid w:val="2A832D34"/>
    <w:rsid w:val="2B367DA6"/>
    <w:rsid w:val="2B595843"/>
    <w:rsid w:val="2BB313F7"/>
    <w:rsid w:val="2C324995"/>
    <w:rsid w:val="2C821689"/>
    <w:rsid w:val="2CF9552F"/>
    <w:rsid w:val="2D680C2E"/>
    <w:rsid w:val="2E1C789F"/>
    <w:rsid w:val="2E270C85"/>
    <w:rsid w:val="2E2772AD"/>
    <w:rsid w:val="2E5A5DFA"/>
    <w:rsid w:val="2E980D78"/>
    <w:rsid w:val="2E993BB9"/>
    <w:rsid w:val="2EAB0AAB"/>
    <w:rsid w:val="2F6D7B0F"/>
    <w:rsid w:val="2FA15A0A"/>
    <w:rsid w:val="2FBE484D"/>
    <w:rsid w:val="30070386"/>
    <w:rsid w:val="30241743"/>
    <w:rsid w:val="304E7940"/>
    <w:rsid w:val="309117EF"/>
    <w:rsid w:val="313E5C07"/>
    <w:rsid w:val="31F36B8E"/>
    <w:rsid w:val="31F44517"/>
    <w:rsid w:val="321642F4"/>
    <w:rsid w:val="32650F71"/>
    <w:rsid w:val="32E620B2"/>
    <w:rsid w:val="32EC44C2"/>
    <w:rsid w:val="33052F39"/>
    <w:rsid w:val="33B977C6"/>
    <w:rsid w:val="33D26ADA"/>
    <w:rsid w:val="343C3F54"/>
    <w:rsid w:val="34621C0C"/>
    <w:rsid w:val="34967B08"/>
    <w:rsid w:val="34E1267E"/>
    <w:rsid w:val="34E645EB"/>
    <w:rsid w:val="357F234A"/>
    <w:rsid w:val="358C3E1D"/>
    <w:rsid w:val="35BC072C"/>
    <w:rsid w:val="35BC70FA"/>
    <w:rsid w:val="36A4475E"/>
    <w:rsid w:val="36EA7C97"/>
    <w:rsid w:val="36FB433D"/>
    <w:rsid w:val="3720190B"/>
    <w:rsid w:val="376A0C51"/>
    <w:rsid w:val="378944B2"/>
    <w:rsid w:val="37D44BCF"/>
    <w:rsid w:val="37FB33F4"/>
    <w:rsid w:val="381078F0"/>
    <w:rsid w:val="3825542A"/>
    <w:rsid w:val="389600D6"/>
    <w:rsid w:val="391D07F7"/>
    <w:rsid w:val="39202096"/>
    <w:rsid w:val="39316051"/>
    <w:rsid w:val="3A4C5D4F"/>
    <w:rsid w:val="3A647D60"/>
    <w:rsid w:val="3AA26711"/>
    <w:rsid w:val="3B351E28"/>
    <w:rsid w:val="3B512370"/>
    <w:rsid w:val="3B5318E0"/>
    <w:rsid w:val="3C81109D"/>
    <w:rsid w:val="3CAF79B9"/>
    <w:rsid w:val="3CBE5E4E"/>
    <w:rsid w:val="3D960B78"/>
    <w:rsid w:val="3E9B4698"/>
    <w:rsid w:val="3EF73899"/>
    <w:rsid w:val="3EFB5137"/>
    <w:rsid w:val="3F0365C7"/>
    <w:rsid w:val="3F43088C"/>
    <w:rsid w:val="3F634A8A"/>
    <w:rsid w:val="3F6A5374"/>
    <w:rsid w:val="3F8A2017"/>
    <w:rsid w:val="3FAE03FB"/>
    <w:rsid w:val="3FFF47B3"/>
    <w:rsid w:val="409316FF"/>
    <w:rsid w:val="40F938F8"/>
    <w:rsid w:val="410D2F00"/>
    <w:rsid w:val="41456AA2"/>
    <w:rsid w:val="42846071"/>
    <w:rsid w:val="43A23DD3"/>
    <w:rsid w:val="449767DC"/>
    <w:rsid w:val="44D73F50"/>
    <w:rsid w:val="45012D7B"/>
    <w:rsid w:val="450C43FB"/>
    <w:rsid w:val="4565155C"/>
    <w:rsid w:val="456F4189"/>
    <w:rsid w:val="460E26FE"/>
    <w:rsid w:val="46446A0C"/>
    <w:rsid w:val="468E4AE3"/>
    <w:rsid w:val="469604FF"/>
    <w:rsid w:val="46A05B5B"/>
    <w:rsid w:val="472A5ECE"/>
    <w:rsid w:val="473C62ED"/>
    <w:rsid w:val="479F6487"/>
    <w:rsid w:val="48117779"/>
    <w:rsid w:val="49706721"/>
    <w:rsid w:val="4A470ED8"/>
    <w:rsid w:val="4AF87705"/>
    <w:rsid w:val="4B176459"/>
    <w:rsid w:val="4BE66483"/>
    <w:rsid w:val="4BF2341E"/>
    <w:rsid w:val="4BFE2910"/>
    <w:rsid w:val="4C24378D"/>
    <w:rsid w:val="4C2C4B82"/>
    <w:rsid w:val="4CC33BB8"/>
    <w:rsid w:val="4CE506DB"/>
    <w:rsid w:val="4CE65122"/>
    <w:rsid w:val="4CFD3C38"/>
    <w:rsid w:val="4D666278"/>
    <w:rsid w:val="4DF711BF"/>
    <w:rsid w:val="4DFD010D"/>
    <w:rsid w:val="4E3E4DD0"/>
    <w:rsid w:val="4EC07803"/>
    <w:rsid w:val="4F0973FC"/>
    <w:rsid w:val="4FF01CBE"/>
    <w:rsid w:val="50C555A5"/>
    <w:rsid w:val="51223AC0"/>
    <w:rsid w:val="5142769C"/>
    <w:rsid w:val="516C329E"/>
    <w:rsid w:val="51A11C58"/>
    <w:rsid w:val="51E97680"/>
    <w:rsid w:val="51FA74D0"/>
    <w:rsid w:val="525E7A5F"/>
    <w:rsid w:val="52862B12"/>
    <w:rsid w:val="52CF58F6"/>
    <w:rsid w:val="532F4F57"/>
    <w:rsid w:val="536D0D25"/>
    <w:rsid w:val="54596730"/>
    <w:rsid w:val="54745318"/>
    <w:rsid w:val="549534E0"/>
    <w:rsid w:val="54A1404D"/>
    <w:rsid w:val="54C53DC5"/>
    <w:rsid w:val="54E03081"/>
    <w:rsid w:val="54F75F49"/>
    <w:rsid w:val="55197C6D"/>
    <w:rsid w:val="55296E8F"/>
    <w:rsid w:val="55676C2B"/>
    <w:rsid w:val="559678EC"/>
    <w:rsid w:val="56163E81"/>
    <w:rsid w:val="57D63BF4"/>
    <w:rsid w:val="580A48C0"/>
    <w:rsid w:val="581035A9"/>
    <w:rsid w:val="58164938"/>
    <w:rsid w:val="586E6522"/>
    <w:rsid w:val="58B32187"/>
    <w:rsid w:val="58B71C77"/>
    <w:rsid w:val="591F15CA"/>
    <w:rsid w:val="593C5E3F"/>
    <w:rsid w:val="5942307F"/>
    <w:rsid w:val="59883613"/>
    <w:rsid w:val="59B25CF8"/>
    <w:rsid w:val="5A317807"/>
    <w:rsid w:val="5A677979"/>
    <w:rsid w:val="5A9B1124"/>
    <w:rsid w:val="5ADF3707"/>
    <w:rsid w:val="5BBC1352"/>
    <w:rsid w:val="5BED1419"/>
    <w:rsid w:val="5BF9711D"/>
    <w:rsid w:val="5CE730F4"/>
    <w:rsid w:val="5D641CA2"/>
    <w:rsid w:val="5E3653EC"/>
    <w:rsid w:val="5EEC01A1"/>
    <w:rsid w:val="602E5A9B"/>
    <w:rsid w:val="60A30D33"/>
    <w:rsid w:val="60BA67A8"/>
    <w:rsid w:val="60C52AA9"/>
    <w:rsid w:val="61A11716"/>
    <w:rsid w:val="61CC7643"/>
    <w:rsid w:val="62090567"/>
    <w:rsid w:val="62495876"/>
    <w:rsid w:val="62D535D8"/>
    <w:rsid w:val="62DD677E"/>
    <w:rsid w:val="630F5D4B"/>
    <w:rsid w:val="63100901"/>
    <w:rsid w:val="63375C4A"/>
    <w:rsid w:val="63473BF7"/>
    <w:rsid w:val="642A59F3"/>
    <w:rsid w:val="65314B5F"/>
    <w:rsid w:val="65870C23"/>
    <w:rsid w:val="659D2AED"/>
    <w:rsid w:val="65C6799D"/>
    <w:rsid w:val="65DF422C"/>
    <w:rsid w:val="65E55350"/>
    <w:rsid w:val="65FA31A3"/>
    <w:rsid w:val="660404C6"/>
    <w:rsid w:val="669F1EDA"/>
    <w:rsid w:val="66E9667D"/>
    <w:rsid w:val="694035C3"/>
    <w:rsid w:val="69C53AC8"/>
    <w:rsid w:val="69CD0CF9"/>
    <w:rsid w:val="6A5E5DDE"/>
    <w:rsid w:val="6B5376D5"/>
    <w:rsid w:val="6B5D66AE"/>
    <w:rsid w:val="6C20148A"/>
    <w:rsid w:val="6CD3010C"/>
    <w:rsid w:val="6D1A237D"/>
    <w:rsid w:val="6DE309C1"/>
    <w:rsid w:val="6DFC05DE"/>
    <w:rsid w:val="6E231BF9"/>
    <w:rsid w:val="6E645FA5"/>
    <w:rsid w:val="6E67773D"/>
    <w:rsid w:val="6E9F764C"/>
    <w:rsid w:val="6F2F06A3"/>
    <w:rsid w:val="70822713"/>
    <w:rsid w:val="710A55BE"/>
    <w:rsid w:val="72CB63F7"/>
    <w:rsid w:val="73075151"/>
    <w:rsid w:val="73DE4104"/>
    <w:rsid w:val="744C2A89"/>
    <w:rsid w:val="74B35591"/>
    <w:rsid w:val="74BE7A92"/>
    <w:rsid w:val="74FD4DFC"/>
    <w:rsid w:val="75331ABC"/>
    <w:rsid w:val="756D1BE3"/>
    <w:rsid w:val="7601057E"/>
    <w:rsid w:val="760C2BC8"/>
    <w:rsid w:val="76B6393E"/>
    <w:rsid w:val="76BE1FCB"/>
    <w:rsid w:val="770F5D88"/>
    <w:rsid w:val="77404C6E"/>
    <w:rsid w:val="781B43CC"/>
    <w:rsid w:val="78E05AA5"/>
    <w:rsid w:val="790740FD"/>
    <w:rsid w:val="79334EF2"/>
    <w:rsid w:val="7997722F"/>
    <w:rsid w:val="79D33FDF"/>
    <w:rsid w:val="7A751EAC"/>
    <w:rsid w:val="7A78007C"/>
    <w:rsid w:val="7AA65250"/>
    <w:rsid w:val="7B2C0E24"/>
    <w:rsid w:val="7CA35EEB"/>
    <w:rsid w:val="7D32101D"/>
    <w:rsid w:val="7D7D4F2C"/>
    <w:rsid w:val="7DA43CC8"/>
    <w:rsid w:val="7DFD57A9"/>
    <w:rsid w:val="7E215466"/>
    <w:rsid w:val="7E4B6817"/>
    <w:rsid w:val="7E9A331D"/>
    <w:rsid w:val="7EAA5231"/>
    <w:rsid w:val="7EF176EB"/>
    <w:rsid w:val="7EFF0116"/>
    <w:rsid w:val="7F3E661A"/>
    <w:rsid w:val="7F9606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annotation text"/>
    <w:basedOn w:val="1"/>
    <w:link w:val="18"/>
    <w:semiHidden/>
    <w:unhideWhenUsed/>
    <w:qFormat/>
    <w:uiPriority w:val="99"/>
    <w:pPr>
      <w:jc w:val="left"/>
    </w:pPr>
  </w:style>
  <w:style w:type="paragraph" w:styleId="3">
    <w:name w:val="Date"/>
    <w:basedOn w:val="1"/>
    <w:next w:val="1"/>
    <w:link w:val="21"/>
    <w:semiHidden/>
    <w:unhideWhenUsed/>
    <w:qFormat/>
    <w:uiPriority w:val="99"/>
    <w:pPr>
      <w:ind w:left="100" w:leftChars="2500"/>
    </w:pPr>
  </w:style>
  <w:style w:type="paragraph" w:styleId="4">
    <w:name w:val="footer"/>
    <w:basedOn w:val="1"/>
    <w:link w:val="14"/>
    <w:unhideWhenUsed/>
    <w:qFormat/>
    <w:uiPriority w:val="0"/>
    <w:pPr>
      <w:tabs>
        <w:tab w:val="center" w:pos="4153"/>
        <w:tab w:val="right" w:pos="8306"/>
      </w:tabs>
      <w:snapToGrid w:val="0"/>
      <w:jc w:val="left"/>
    </w:pPr>
    <w:rPr>
      <w:rFonts w:eastAsiaTheme="minorEastAsia" w:cstheme="minorBidi"/>
      <w:sz w:val="18"/>
      <w:szCs w:val="18"/>
    </w:rPr>
  </w:style>
  <w:style w:type="paragraph" w:styleId="5">
    <w:name w:val="header"/>
    <w:basedOn w:val="1"/>
    <w:link w:val="15"/>
    <w:unhideWhenUsed/>
    <w:qFormat/>
    <w:uiPriority w:val="99"/>
    <w:pPr>
      <w:pBdr>
        <w:bottom w:val="single" w:color="auto" w:sz="6" w:space="1"/>
      </w:pBdr>
      <w:tabs>
        <w:tab w:val="center" w:pos="4153"/>
        <w:tab w:val="right" w:pos="8306"/>
      </w:tabs>
      <w:snapToGrid w:val="0"/>
      <w:jc w:val="center"/>
    </w:pPr>
    <w:rPr>
      <w:rFonts w:eastAsiaTheme="minorEastAsia" w:cstheme="minorBidi"/>
      <w:sz w:val="18"/>
      <w:szCs w:val="18"/>
    </w:rPr>
  </w:style>
  <w:style w:type="paragraph" w:styleId="6">
    <w:name w:val="Normal (Web)"/>
    <w:basedOn w:val="1"/>
    <w:semiHidden/>
    <w:unhideWhenUsed/>
    <w:qFormat/>
    <w:uiPriority w:val="99"/>
    <w:pPr>
      <w:keepNext w:val="0"/>
      <w:keepLines w:val="0"/>
      <w:widowControl w:val="0"/>
      <w:suppressLineNumbers w:val="0"/>
      <w:spacing w:before="0" w:beforeAutospacing="0" w:after="0" w:afterAutospacing="0"/>
      <w:ind w:left="0" w:right="0"/>
      <w:jc w:val="both"/>
    </w:pPr>
    <w:rPr>
      <w:rFonts w:hint="eastAsia" w:ascii="等线" w:hAnsi="等线" w:eastAsia="等线" w:cs="Times New Roman"/>
      <w:kern w:val="2"/>
      <w:sz w:val="24"/>
      <w:szCs w:val="22"/>
      <w:lang w:val="en-US" w:eastAsia="zh-CN" w:bidi="ar"/>
    </w:rPr>
  </w:style>
  <w:style w:type="paragraph" w:styleId="7">
    <w:name w:val="annotation subject"/>
    <w:basedOn w:val="2"/>
    <w:next w:val="2"/>
    <w:link w:val="19"/>
    <w:semiHidden/>
    <w:unhideWhenUsed/>
    <w:qFormat/>
    <w:uiPriority w:val="99"/>
    <w:rPr>
      <w:b/>
      <w:bCs/>
    </w:rPr>
  </w:style>
  <w:style w:type="table" w:styleId="9">
    <w:name w:val="Table Grid"/>
    <w:basedOn w:val="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 w:type="character" w:styleId="12">
    <w:name w:val="annotation reference"/>
    <w:basedOn w:val="10"/>
    <w:semiHidden/>
    <w:unhideWhenUsed/>
    <w:qFormat/>
    <w:uiPriority w:val="99"/>
    <w:rPr>
      <w:sz w:val="21"/>
      <w:szCs w:val="21"/>
    </w:rPr>
  </w:style>
  <w:style w:type="character" w:customStyle="1" w:styleId="13">
    <w:name w:val="emtidy-1"/>
    <w:basedOn w:val="10"/>
    <w:qFormat/>
    <w:uiPriority w:val="0"/>
  </w:style>
  <w:style w:type="character" w:customStyle="1" w:styleId="14">
    <w:name w:val="页脚 字符"/>
    <w:link w:val="4"/>
    <w:qFormat/>
    <w:uiPriority w:val="0"/>
    <w:rPr>
      <w:rFonts w:ascii="Times New Roman" w:hAnsi="Times New Roman"/>
      <w:sz w:val="18"/>
      <w:szCs w:val="18"/>
    </w:rPr>
  </w:style>
  <w:style w:type="character" w:customStyle="1" w:styleId="15">
    <w:name w:val="页眉 字符"/>
    <w:link w:val="5"/>
    <w:qFormat/>
    <w:uiPriority w:val="99"/>
    <w:rPr>
      <w:rFonts w:ascii="Times New Roman" w:hAnsi="Times New Roman"/>
      <w:sz w:val="18"/>
      <w:szCs w:val="18"/>
    </w:rPr>
  </w:style>
  <w:style w:type="character" w:customStyle="1" w:styleId="16">
    <w:name w:val="页眉 字符1"/>
    <w:basedOn w:val="10"/>
    <w:semiHidden/>
    <w:qFormat/>
    <w:uiPriority w:val="99"/>
    <w:rPr>
      <w:rFonts w:ascii="Times New Roman" w:hAnsi="Times New Roman" w:eastAsia="宋体" w:cs="Times New Roman"/>
      <w:sz w:val="18"/>
      <w:szCs w:val="18"/>
    </w:rPr>
  </w:style>
  <w:style w:type="character" w:customStyle="1" w:styleId="17">
    <w:name w:val="页脚 字符1"/>
    <w:basedOn w:val="10"/>
    <w:semiHidden/>
    <w:qFormat/>
    <w:uiPriority w:val="99"/>
    <w:rPr>
      <w:rFonts w:ascii="Times New Roman" w:hAnsi="Times New Roman" w:eastAsia="宋体" w:cs="Times New Roman"/>
      <w:sz w:val="18"/>
      <w:szCs w:val="18"/>
    </w:rPr>
  </w:style>
  <w:style w:type="character" w:customStyle="1" w:styleId="18">
    <w:name w:val="批注文字 字符"/>
    <w:basedOn w:val="10"/>
    <w:link w:val="2"/>
    <w:semiHidden/>
    <w:qFormat/>
    <w:uiPriority w:val="99"/>
    <w:rPr>
      <w:rFonts w:ascii="Times New Roman" w:hAnsi="Times New Roman" w:eastAsia="宋体" w:cs="Times New Roman"/>
      <w:szCs w:val="24"/>
    </w:rPr>
  </w:style>
  <w:style w:type="character" w:customStyle="1" w:styleId="19">
    <w:name w:val="批注主题 字符"/>
    <w:basedOn w:val="18"/>
    <w:link w:val="7"/>
    <w:semiHidden/>
    <w:qFormat/>
    <w:uiPriority w:val="99"/>
    <w:rPr>
      <w:rFonts w:ascii="Times New Roman" w:hAnsi="Times New Roman" w:eastAsia="宋体" w:cs="Times New Roman"/>
      <w:b/>
      <w:bCs/>
      <w:szCs w:val="24"/>
    </w:rPr>
  </w:style>
  <w:style w:type="paragraph" w:customStyle="1" w:styleId="20">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21">
    <w:name w:val="日期 字符"/>
    <w:basedOn w:val="10"/>
    <w:link w:val="3"/>
    <w:semiHidden/>
    <w:qFormat/>
    <w:uiPriority w:val="99"/>
    <w:rPr>
      <w:rFonts w:ascii="Times New Roman" w:hAnsi="Times New Roman" w:eastAsia="宋体" w:cs="Times New Roman"/>
      <w:kern w:val="2"/>
      <w:sz w:val="21"/>
      <w:szCs w:val="24"/>
    </w:rPr>
  </w:style>
  <w:style w:type="paragraph" w:customStyle="1" w:styleId="22">
    <w:name w:val="Normal_49cb6126-39d7-41a6-b86b-1cded07fb87a"/>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23">
    <w:name w:val="普通表格_349566f7-1c60-4fdb-b9e9-0f82370d6363"/>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B87B3-0250-4507-AE3C-7B762CE20AF5}">
  <ds:schemaRefs/>
</ds:datastoreItem>
</file>

<file path=docProps/app.xml><?xml version="1.0" encoding="utf-8"?>
<Properties xmlns="http://schemas.openxmlformats.org/officeDocument/2006/extended-properties" xmlns:vt="http://schemas.openxmlformats.org/officeDocument/2006/docPropsVTypes">
  <Template>Normal.dotm</Template>
  <Pages>8</Pages>
  <Words>5612</Words>
  <Characters>6143</Characters>
  <Lines>37</Lines>
  <Paragraphs>10</Paragraphs>
  <TotalTime>0</TotalTime>
  <ScaleCrop>false</ScaleCrop>
  <LinksUpToDate>false</LinksUpToDate>
  <CharactersWithSpaces>6234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2021-06-08T02:06:00Z</dcterms:created>
  <dc:creator>sheng king</dc:creator>
  <cp:lastModifiedBy>蒲公英的梦想 Φ</cp:lastModifiedBy>
  <cp:lastPrinted>2025-09-05T06:04:00Z</cp:lastPrinted>
  <dcterms:modified xsi:type="dcterms:W3CDTF">2026-09-14T08:03:51Z</dcterms:modified>
  <cp:revision>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D2AB9D8129D242B39CB442E91470D54D</vt:lpwstr>
  </property>
  <property fmtid="{D5CDD505-2E9C-101B-9397-08002B2CF9AE}" pid="4" name="KSOTemplateDocerSaveRecord">
    <vt:lpwstr>eyJoZGlkIjoiMjUyMjgwNzFjODcxM2ZjZGI2N2IwYzkwZDRkMjAzNjQiLCJ1c2VySWQiOiIxMzc3OTAzNTM5In0=</vt:lpwstr>
  </property>
</Properties>
</file>